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color w:val="17365d"/>
          <w:sz w:val="52"/>
          <w:szCs w:val="52"/>
          <w:rtl w:val="0"/>
        </w:rPr>
        <w:t xml:space="preserve">Aportes Integrantes Grupo 2 - 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Sprint  1 y 2. 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949"/>
            <w:gridCol w:w="4949"/>
            <w:tblGridChange w:id="0">
              <w:tblGrid>
                <w:gridCol w:w="4949"/>
                <w:gridCol w:w="494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Daniel Campos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Ignacio Aguirre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Planificación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Planificación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Base de Datos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Crud Usuarios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Login, Cambiar Contraseña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Módulo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Módulo Productos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-499079</wp:posOffset>
          </wp:positionV>
          <wp:extent cx="2209800" cy="367030"/>
          <wp:effectExtent b="0" l="0" r="0" t="0"/>
          <wp:wrapSquare wrapText="bothSides" distB="0" distT="0" distL="114300" distR="114300"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B1si79+uLXmcAjzpLiHA3ikkcA==">CgMxLjAaHwoBMBIaChgICVIUChJ0YWJsZS5samV5ZXg5MmM2ejg4AHIhMTRUeXJ2VzVZVGJaM05GeEhuNkVVaGRnc0ozYW04ZjJO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