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01/11/24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3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de revisión de los avances de la aplicación en conjunto ejecutando la aplicación y las funcionalidades asociadas al sprint: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Módulo de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Listar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Habiendo confirmado que se las funcionalidades fueron implementadas y están funcionando correctamente tras esta revisión, se dio por concluido el sprint 3 y el módulo de ventas, logrando cumplir con éxito todas las historias de usuario asignadas al sprint.</w:t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SDQQ7fPvZHQJsjlLhs/E+6Upw==">CgMxLjA4AHIhMW1fZnFMS3NBVnRrU1FVOHZwWnZSa1JFSXo3VTVDenZj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