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https://doi.org/10.6084/m9.figshare.28028564.v3</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w:t>
      </w:r>
      <w:r>
        <w:t xml:space="preserve"> </w:t>
      </w:r>
      <m:oMath>
        <m:sSub>
          <m:e>
            <m:r>
              <m:t>a</m:t>
            </m:r>
          </m:e>
          <m:sub>
            <m:r>
              <m:t>i</m:t>
            </m:r>
          </m:sub>
        </m:sSub>
      </m:oMath>
      <w:r>
        <w:t xml:space="preserve"> </w:t>
      </w:r>
      <w:r>
        <w:t xml:space="preserve">and</w:t>
      </w:r>
      <w:r>
        <w:t xml:space="preserve"> </w:t>
      </w:r>
      <m:oMath>
        <m:sSub>
          <m:e>
            <m:r>
              <m:t>b</m:t>
            </m:r>
          </m:e>
          <m:sub>
            <m:r>
              <m:t>i</m:t>
            </m:r>
            <m:r>
              <m:t>k</m:t>
            </m:r>
          </m:sub>
        </m:sSub>
      </m:oMath>
      <w:r>
        <w:t xml:space="preserve"> </w:t>
      </w:r>
      <w:r>
        <w:t xml:space="preserve">from the IRT parameterization, using the following expressions (Wang &amp; Wang, 2020, p87):</w:t>
      </w:r>
    </w:p>
    <w:p>
      <w:pPr>
        <w:pStyle w:val="BodyText"/>
      </w:pPr>
      <w:bookmarkStart w:id="41" w:name="eq-delta_par_item_slope"/>
      <m:oMathPara>
        <m:oMathParaPr>
          <m:jc m:val="center"/>
        </m:oMathParaPr>
        <m:oMath>
          <m:sSub>
            <m:e>
              <m:r>
                <m:t>a</m:t>
              </m:r>
            </m:e>
            <m:sub>
              <m:r>
                <m:t>i</m:t>
              </m:r>
            </m:sub>
          </m:sSub>
          <m:r>
            <m:rPr>
              <m:sty m:val="p"/>
            </m:rPr>
            <m:t>=</m:t>
          </m:r>
          <m:sSub>
            <m:e>
              <m:r>
                <m:t>λ</m:t>
              </m:r>
            </m:e>
            <m:sub>
              <m:r>
                <m:t>i</m:t>
              </m:r>
            </m:sub>
          </m:sSub>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on"/>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p>
      <w:pPr>
        <w:pStyle w:val="CaptionedFigure"/>
      </w:pPr>
      <w:r>
        <w:drawing>
          <wp:inline>
            <wp:extent cx="4000500" cy="2857500"/>
            <wp:effectExtent b="0" l="0" r="0" t="0"/>
            <wp:docPr descr="Figure 1: response model parameters being held equal in each model specification."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 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 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1"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4" w:name="invariance-analysis"/>
    <w:p>
      <w:pPr>
        <w:pStyle w:val="Heading2"/>
      </w:pPr>
      <w:r>
        <w:t xml:space="preserve">5.2 Invariance analysis</w:t>
      </w:r>
    </w:p>
    <w:bookmarkStart w:id="72"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9">
        <w:r>
          <w:rPr>
            <w:rStyle w:val="VerbatimChar"/>
          </w:rPr>
          <w:t xml:space="preserve">data_ex1.rds</w:t>
        </w:r>
      </w:hyperlink>
    </w:p>
    <w:p>
      <w:pPr>
        <w:numPr>
          <w:ilvl w:val="0"/>
          <w:numId w:val="1017"/>
        </w:numPr>
        <w:pStyle w:val="Compact"/>
      </w:pPr>
      <w:r>
        <w:t xml:space="preserve">scale_info =</w:t>
      </w:r>
      <w:r>
        <w:t xml:space="preserve"> </w:t>
      </w:r>
      <w:hyperlink r:id="rId71">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2"/>
    <w:bookmarkStart w:id="73"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69">
        <w:r>
          <w:rPr>
            <w:rStyle w:val="VerbatimChar"/>
          </w:rPr>
          <w:t xml:space="preserve">data_ex1.rds</w:t>
        </w:r>
      </w:hyperlink>
    </w:p>
    <w:p>
      <w:pPr>
        <w:numPr>
          <w:ilvl w:val="0"/>
          <w:numId w:val="1019"/>
        </w:numPr>
        <w:pStyle w:val="Compact"/>
      </w:pPr>
      <w:r>
        <w:t xml:space="preserve">scale_info =</w:t>
      </w:r>
      <w:r>
        <w:t xml:space="preserve"> </w:t>
      </w:r>
      <w:hyperlink r:id="rId71">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3"/>
    <w:bookmarkEnd w:id="74"/>
    <w:bookmarkStart w:id="81"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6" name="Picture"/>
            <a:graphic>
              <a:graphicData uri="http://schemas.openxmlformats.org/drawingml/2006/picture">
                <pic:pic>
                  <pic:nvPicPr>
                    <pic:cNvPr descr="figure_5_overview.png" id="77" name="Picture"/>
                    <pic:cNvPicPr>
                      <a:picLocks noChangeArrowheads="1" noChangeAspect="1"/>
                    </pic:cNvPicPr>
                  </pic:nvPicPr>
                  <pic:blipFill>
                    <a:blip r:embed="rId75"/>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9">
        <w:r>
          <w:rPr>
            <w:rStyle w:val="VerbatimChar"/>
          </w:rPr>
          <w:t xml:space="preserve">data_ex1.rds</w:t>
        </w:r>
      </w:hyperlink>
    </w:p>
    <w:p>
      <w:pPr>
        <w:numPr>
          <w:ilvl w:val="0"/>
          <w:numId w:val="1026"/>
        </w:numPr>
        <w:pStyle w:val="Compact"/>
      </w:pPr>
      <w:r>
        <w:t xml:space="preserve">scale_info =</w:t>
      </w:r>
      <w:r>
        <w:t xml:space="preserve"> </w:t>
      </w:r>
      <w:hyperlink r:id="rId71">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8">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9">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0">
        <w:r>
          <w:rPr>
            <w:rStyle w:val="VerbatimChar"/>
          </w:rPr>
          <w:t xml:space="preserve">guideline_item_report_example.docx</w:t>
        </w:r>
      </w:hyperlink>
    </w:p>
    <w:bookmarkEnd w:id="81"/>
    <w:bookmarkStart w:id="89"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2">
        <w:r>
          <w:rPr>
            <w:rStyle w:val="VerbatimChar"/>
          </w:rPr>
          <w:t xml:space="preserve">data_example.rds</w:t>
        </w:r>
      </w:hyperlink>
    </w:p>
    <w:p>
      <w:pPr>
        <w:numPr>
          <w:ilvl w:val="1"/>
          <w:numId w:val="1029"/>
        </w:numPr>
        <w:pStyle w:val="Compact"/>
      </w:pPr>
      <w:r>
        <w:t xml:space="preserve">code template:</w:t>
      </w:r>
      <w:r>
        <w:t xml:space="preserve"> </w:t>
      </w:r>
      <w:hyperlink r:id="rId83">
        <w:r>
          <w:rPr>
            <w:rStyle w:val="VerbatimChar"/>
          </w:rPr>
          <w:t xml:space="preserve">template_example_2.rmd</w:t>
        </w:r>
      </w:hyperlink>
    </w:p>
    <w:p>
      <w:pPr>
        <w:numPr>
          <w:ilvl w:val="2"/>
          <w:numId w:val="1030"/>
        </w:numPr>
        <w:pStyle w:val="Compact"/>
      </w:pPr>
      <w:r>
        <w:t xml:space="preserve">word template:</w:t>
      </w:r>
      <w:r>
        <w:t xml:space="preserve"> </w:t>
      </w:r>
      <w:hyperlink r:id="rId79">
        <w:r>
          <w:rPr>
            <w:rStyle w:val="VerbatimChar"/>
          </w:rPr>
          <w:t xml:space="preserve">report_template.docx</w:t>
        </w:r>
      </w:hyperlink>
    </w:p>
    <w:p>
      <w:pPr>
        <w:numPr>
          <w:ilvl w:val="1"/>
          <w:numId w:val="1029"/>
        </w:numPr>
        <w:pStyle w:val="Compact"/>
      </w:pPr>
      <w:r>
        <w:t xml:space="preserve">resulting report:</w:t>
      </w:r>
      <w:r>
        <w:t xml:space="preserve"> </w:t>
      </w:r>
      <w:hyperlink r:id="rId84">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5">
        <w:r>
          <w:rPr>
            <w:rStyle w:val="VerbatimChar"/>
          </w:rPr>
          <w:t xml:space="preserve">survey_1_g8.rds</w:t>
        </w:r>
      </w:hyperlink>
    </w:p>
    <w:p>
      <w:pPr>
        <w:numPr>
          <w:ilvl w:val="1"/>
          <w:numId w:val="1031"/>
        </w:numPr>
        <w:pStyle w:val="Compact"/>
      </w:pPr>
      <w:r>
        <w:t xml:space="preserve">code template:</w:t>
      </w:r>
      <w:r>
        <w:t xml:space="preserve"> </w:t>
      </w:r>
      <w:hyperlink r:id="rId86">
        <w:r>
          <w:rPr>
            <w:rStyle w:val="VerbatimChar"/>
          </w:rPr>
          <w:t xml:space="preserve">template_example_3.rmd</w:t>
        </w:r>
      </w:hyperlink>
    </w:p>
    <w:p>
      <w:pPr>
        <w:numPr>
          <w:ilvl w:val="2"/>
          <w:numId w:val="1032"/>
        </w:numPr>
        <w:pStyle w:val="Compact"/>
      </w:pPr>
      <w:r>
        <w:t xml:space="preserve">word template:</w:t>
      </w:r>
      <w:r>
        <w:t xml:space="preserve"> </w:t>
      </w:r>
      <w:hyperlink r:id="rId79">
        <w:r>
          <w:rPr>
            <w:rStyle w:val="VerbatimChar"/>
          </w:rPr>
          <w:t xml:space="preserve">report_template.docx</w:t>
        </w:r>
      </w:hyperlink>
    </w:p>
    <w:p>
      <w:pPr>
        <w:numPr>
          <w:ilvl w:val="1"/>
          <w:numId w:val="1031"/>
        </w:numPr>
        <w:pStyle w:val="Compact"/>
      </w:pPr>
      <w:r>
        <w:t xml:space="preserve">resulting report</w:t>
      </w:r>
      <w:r>
        <w:t xml:space="preserve"> </w:t>
      </w:r>
      <w:hyperlink r:id="rId87">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8">
        <w:r>
          <w:rPr>
            <w:rStyle w:val="Hyperlink"/>
          </w:rPr>
          <w:t xml:space="preserve">link</w:t>
        </w:r>
      </w:hyperlink>
      <w:r>
        <w:t xml:space="preserve">.</w:t>
      </w:r>
    </w:p>
    <w:bookmarkEnd w:id="89"/>
    <w:bookmarkStart w:id="90"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0"/>
    <w:bookmarkEnd w:id="91"/>
    <w:bookmarkStart w:id="92"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2025-05-22T02:59:50Z</dcterms:created>
  <dcterms:modified xsi:type="dcterms:W3CDTF">2025-05-22T02:59:50Z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