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5.png" ContentType="image/png"/>
  <Override PartName="/word/media/rId59.png" ContentType="image/png"/>
  <Override PartName="/word/media/rId62.png" ContentType="image/png"/>
  <Override PartName="/word/media/rId7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2025-04-16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Carrasco, Diego; Sandoval-Hernández, Andrés; Eryilmaz, Nurullah (2025).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https://doi.org/10.6084/m9.figshare.28028564.v3</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Measurement invariance is a desired property of scales scores generated with measurement models fitted onto polytomous items responses, to allow comparisons among groups (Tse, Lai, &amp; Chang, 2024). These groups often include meaningful factors such as sex, age, the language of the test or survey, and the participating country, among other groups of interest. Ideally, latent variable models can be used to provide evidence (or the lack of it) that comparisons among these groups can be made on the generated scale scores.</w:t>
      </w:r>
    </w:p>
    <w:p>
      <w:pPr>
        <w:pStyle w:val="BodyText"/>
      </w:pPr>
      <w:r>
        <w:t xml:space="preserve">There are different approaches to assess if the assume comparability is tenable. The most popular approaches include differential item functioning (DIF), and factorial invariance (Thissen, 2024), two model based strategies to assess comparability among groups. The simplest version of differential item functioning is uniform DIF. Uniform DIF consist of the study of item location parameters conditional to group membership of the observations. DIF is a procedure to produce evidence that the expected response onto items, is equivalent among groups when the level of the attribute is the same among the contrasting groups. Thus, if two (or more) groups of the same attribute level do differ on the expected responses to an item, this scenario is taken as evidence of DIF (e.g., Wu et al., 2016). There are other forms of DIF such as non-uniform DIF that consist of group interactions involving, not only item location parameters, but also item slopes (or factor loadings depending on the measurement model parameterization) (Meulders &amp; Xie, 2004), and more complex forms of DIF that account for variability on the measurement model parameters, not only due to groups (i.e., categorical variables), but conditional to continuous variables (Bauer, 2016).</w:t>
      </w:r>
    </w:p>
    <w:p>
      <w:pPr>
        <w:pStyle w:val="BodyText"/>
      </w:pPr>
      <w:r>
        <w:t xml:space="preserve">On the other hand, factorial invariance or measurement invariance is also a model-based strategy, where different measurement models’ specifications are fitted onto the groups of interest, to assess the equivalence of the measurement model parameters besides group latent mean (Millsap, 2011).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measurement model parameters are held equal among groups till the most equivalent model specification is fitted where factor loadings, item location and item uniques parameters are held equal, and only latent mean differences are allowed to vary (e.g., Dimitrov, 2010).</w:t>
      </w:r>
    </w:p>
    <w:p>
      <w:pPr>
        <w:pStyle w:val="BodyText"/>
      </w:pPr>
      <w:r>
        <w:t xml:space="preserve">Current developments on factorial invariance, specifically developments in confirmatory factor analysis (CFA) fitted onto ordinal indicators have recommendations, that depart from traditional CFA measurement invariance (Wu &amp; Estabrook, 2016; Svetina, Rutkowski &amp; Rutkowski, 2020; Tse, Lai &amp; Chang, 2024). Two points of contention are of special relevance for the present guideline. These are the order in which the different model specifications should be fitted; and if the different invariance model specifications described for CFA with continuous indicators are applicable for measurement models with ordinal indicators.</w:t>
      </w:r>
    </w:p>
    <w:p>
      <w:pPr>
        <w:pStyle w:val="BodyText"/>
      </w:pPr>
      <w:r>
        <w:t xml:space="preserve">The present guideline is focused on the model specifications included in the</w:t>
      </w:r>
      <w:r>
        <w:t xml:space="preserve"> </w:t>
      </w:r>
      <w:r>
        <w:rPr>
          <w:rStyle w:val="VerbatimChar"/>
        </w:rPr>
        <w:t xml:space="preserve">library(rd3c3)</w:t>
      </w:r>
      <w:r>
        <w:t xml:space="preserve">. This is an R library, with a collection of different wrapper functions that helps to speed up the process of writing syntax to fit different latent variable models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a model sequence to assess measurement invariance. It also follows Svetina et al. (2020), Tse et al. (2024) and Grimm et al. (2016) on model specification with delta parameterization, to fit scalar, and strict invariance model solutions.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present guideline is structure as follows: we first review measurement invariance model specifications with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 using the library</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Bauer, D. J. (2016). A More General Model for Testing Measurement Invariance and Differential Item Functioning. Psychological Methods. https://doi.org/10.1037/met0000077</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Millsap, R. E. (2011). Statistical Approaches to Measurement Invariance. New York, NY: Routledge.</w:t>
      </w:r>
    </w:p>
    <w:p>
      <w:pPr>
        <w:pStyle w:val="BodyText"/>
      </w:pPr>
      <w:r>
        <w:t xml:space="preserve">Meulders, M., &amp; Xie, Y. (2004). Person-by-item predictors. In P. De Boeck &amp; M. Wilson (Eds.), Explanatory Item Response Models (pp. 213–240). Springer New York. https://doi.org/10.1007/978-1-4757-3990-9_7</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50"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4" w:name="graded-response-model"/>
    <w:p>
      <w:pPr>
        <w:pStyle w:val="Heading2"/>
      </w:pPr>
      <w:r>
        <w:t xml:space="preserve">2.1 Graded Response Model</w:t>
      </w:r>
    </w:p>
    <w:p>
      <w:pPr>
        <w:pStyle w:val="FirstParagraph"/>
      </w:pPr>
      <w:r>
        <w:t xml:space="preserve">The graded response model (Samejima, 1968; 2016) is an item response theory model, fitted onto ordinal responses. Historically, it appears before the partial credit model (Masters, 1982), which is the most popular response model to generate scores across several large-scale assessment studies (Carrasco, Torres Irribarra &amp; González, 2022). This model can be fitted using link functions, the logit function and the probit function (Bovaird &amp; Koziol, 2012). This model is also referred to as a confirmatory factor analysis for ordinal indicators (e.g., Bovaird &amp; Koziol, 2012, Wang &amp; Wang, 2020).</w:t>
      </w:r>
    </w:p>
    <w:p>
      <w:pPr>
        <w:pStyle w:val="BodyText"/>
      </w:pPr>
      <w:r>
        <w:t xml:space="preserve">We will review the formal presentation of these two variants, so is easier to make a bridge between polytomous item response theory models, and confirmatory factor models for ordinal indicators. The first variant, with the logit link can be formally expressed with the following equation:</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A more concise version of the previous equation is the following formula, using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The higher the values</w:t>
      </w:r>
      <w:r>
        <w:t xml:space="preserve"> </w:t>
      </w:r>
      <m:oMath>
        <m:sSub>
          <m:e>
            <m:r>
              <m:t>θ</m:t>
            </m:r>
          </m:e>
          <m:sub>
            <m:r>
              <m:t>p</m:t>
            </m:r>
          </m:sub>
        </m:sSub>
      </m:oMath>
      <w:r>
        <w:t xml:space="preserve">, the higher the propensity to provide answers of higher categories.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trait persons in their expected response probability. The parameter</w:t>
      </w:r>
      <w:r>
        <w:t xml:space="preserve"> </w:t>
      </w:r>
      <m:oMath>
        <m:sSub>
          <m:e>
            <m:r>
              <m:t>b</m:t>
            </m:r>
          </m:e>
          <m:sub>
            <m:r>
              <m:t>i</m:t>
            </m:r>
            <m:r>
              <m:t>k</m:t>
            </m:r>
          </m:sub>
        </m:sSub>
      </m:oMath>
      <w:r>
        <w:t xml:space="preserve"> </w:t>
      </w:r>
      <w:r>
        <w:t xml:space="preserve">can be interpreted as a location parameter to items responses and can help to distinguish the expected proportions of each response categories. Here we interpret</w:t>
      </w:r>
      <w:r>
        <w:t xml:space="preserve"> </w:t>
      </w:r>
      <m:oMath>
        <m:sSub>
          <m:e>
            <m:r>
              <m:t>θ</m:t>
            </m:r>
          </m:e>
          <m:sub>
            <m:r>
              <m:t>p</m:t>
            </m:r>
          </m:sub>
        </m:sSub>
      </m:oMath>
      <w:r>
        <w:t xml:space="preserve"> </w:t>
      </w:r>
      <w:r>
        <w:t xml:space="preserve">as propensities without a particular meaning because polytomous scales in ILSA can include instruments aimed to measure other attributes beside abilities, including attitudes, beliefs, endorsement to norms, among other attributes. The meaning of the values θ_p are conditioned by the content of instrument eliciting the responses being model in the measurement model.</w:t>
      </w:r>
    </w:p>
    <w:p>
      <w:pPr>
        <w:pStyle w:val="BodyText"/>
      </w:pPr>
      <w:r>
        <w:t xml:space="preserve">Graded response models (GRM) with logit link can be specified in similar way to the partial credit model (PCM). The</w:t>
      </w:r>
      <w:r>
        <w:t xml:space="preserve"> </w:t>
      </w:r>
      <m:oMath>
        <m:sSub>
          <m:e>
            <m:r>
              <m:t>a</m:t>
            </m:r>
          </m:e>
          <m:sub>
            <m:r>
              <m:t>i</m:t>
            </m:r>
          </m:sub>
        </m:sSub>
      </m:oMath>
      <w:r>
        <w:t xml:space="preserve"> </w:t>
      </w:r>
      <w:r>
        <w:t xml:space="preserve">parameter 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relevant in the measurement model. The main difference between these two models is the implied response probability category functions. While the PCM includes the adjacent logit function; the GRM relies on the cumulative logit function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 And additional property of the GRM</w:t>
      </w:r>
      <w:r>
        <w:t xml:space="preserve"> </w:t>
      </w:r>
      <m:oMath>
        <m:sSub>
          <m:e>
            <m:r>
              <m:t>b</m:t>
            </m:r>
          </m:e>
          <m:sub>
            <m:r>
              <m:t>i</m:t>
            </m:r>
            <m:r>
              <m:t>k</m:t>
            </m:r>
          </m:sub>
        </m:sSub>
      </m:oMath>
      <w:r>
        <w:t xml:space="preserve"> </w:t>
      </w:r>
      <w:r>
        <w:t xml:space="preserve">parameters, is these parameters are ordered parameters. Formally this property can be expressed by</w:t>
      </w:r>
      <w:r>
        <w:t xml:space="preserve"> </w:t>
      </w:r>
      <m:oMath>
        <m:sSub>
          <m:e>
            <m:r>
              <m:t>b</m:t>
            </m:r>
          </m:e>
          <m:sub>
            <m:r>
              <m:t>i</m:t>
            </m:r>
            <m:r>
              <m:t>k</m:t>
            </m:r>
          </m:sub>
        </m:sSub>
        <m:r>
          <m:rPr>
            <m:sty m:val="p"/>
          </m:rPr>
          <m:t>≥</m:t>
        </m:r>
        <m:sSub>
          <m:e>
            <m:r>
              <m:t>b</m:t>
            </m:r>
          </m:e>
          <m:sub>
            <m:r>
              <m:t>i</m:t>
            </m:r>
            <m:r>
              <m:t>k</m:t>
            </m:r>
            <m:r>
              <m:rPr>
                <m:sty m:val="p"/>
              </m:rPr>
              <m:t>−</m:t>
            </m:r>
            <m:r>
              <m:t>1</m:t>
            </m:r>
          </m:sub>
        </m:sSub>
      </m:oMath>
      <w:r>
        <w:t xml:space="preserve">. Such property is not shared with the PCM and its adjacent logits, where b_ik are not necessarily ordered (Adams et al., 2012). In summary GRM is an item response theory model applicable to polytomous ordered responses, using a cumulative response probability function.</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We rely on this second formulation, to fit the different model specification to assess measurement invariance. In this formulation factor loadings (</w:t>
      </w:r>
      <w:r>
        <w:t xml:space="preserve"> </w:t>
      </w:r>
      <m:oMath>
        <m:sSub>
          <m:e>
            <m:r>
              <m:t>λ</m:t>
            </m:r>
          </m:e>
          <m:sub>
            <m:r>
              <m:t>i</m:t>
            </m:r>
          </m:sub>
        </m:sSub>
      </m:oMath>
      <w:r>
        <w:t xml:space="preserve"> </w:t>
      </w:r>
      <w:r>
        <w:t xml:space="preserve">) and thresholds are included (</w:t>
      </w:r>
      <w:r>
        <w:t xml:space="preserve"> </w:t>
      </w:r>
      <m:oMath>
        <m:r>
          <m:rPr>
            <m:sty m:val="p"/>
          </m:rPr>
          <m:t>−</m:t>
        </m:r>
        <m:sSub>
          <m:e>
            <m:r>
              <m:t>τ</m:t>
            </m:r>
          </m:e>
          <m:sub>
            <m:r>
              <m:t>i</m:t>
            </m:r>
            <m:r>
              <m:t>k</m:t>
            </m:r>
          </m:sub>
        </m:sSub>
      </m:oMath>
      <w:r>
        <w:t xml:space="preserve"> </w:t>
      </w:r>
      <w:r>
        <w:t xml:space="preserve">) per item, and a term for the theoretical factor (</w:t>
      </w:r>
      <w:r>
        <w:t xml:space="preserve"> </w:t>
      </w:r>
      <m:oMath>
        <m:sSub>
          <m:e>
            <m:r>
              <m:t>θ</m:t>
            </m:r>
          </m:e>
          <m:sub>
            <m:r>
              <m:t>p</m:t>
            </m:r>
          </m:sub>
        </m:sSub>
      </m:oMath>
      <w:r>
        <w:t xml:space="preserve"> </w:t>
      </w:r>
      <w:r>
        <w:t xml:space="preserve">). These terms can be used to retrieve</w:t>
      </w:r>
      <w:r>
        <w:t xml:space="preserve"> </w:t>
      </w:r>
      <m:oMath>
        <m:sSub>
          <m:e>
            <m:r>
              <m:t>a</m:t>
            </m:r>
          </m:e>
          <m:sub>
            <m:r>
              <m:t>i</m:t>
            </m:r>
          </m:sub>
        </m:sSub>
      </m:oMath>
      <w:r>
        <w:t xml:space="preserve"> </w:t>
      </w:r>
      <w:r>
        <w:t xml:space="preserve">and</w:t>
      </w:r>
      <w:r>
        <w:t xml:space="preserve"> </w:t>
      </w:r>
      <m:oMath>
        <m:sSub>
          <m:e>
            <m:r>
              <m:t>b</m:t>
            </m:r>
          </m:e>
          <m:sub>
            <m:r>
              <m:t>i</m:t>
            </m:r>
            <m:r>
              <m:t>k</m:t>
            </m:r>
          </m:sub>
        </m:sSub>
      </m:oMath>
      <w:r>
        <w:t xml:space="preserve"> </w:t>
      </w:r>
      <w:r>
        <w:t xml:space="preserve">from the IRT parameterization, using the following expressions (Wang &amp; Wang, 2020, p87):</w:t>
      </w:r>
    </w:p>
    <w:p>
      <w:pPr>
        <w:pStyle w:val="BodyText"/>
      </w:pPr>
      <w:bookmarkStart w:id="41" w:name="eq-delta_par_item_slope"/>
      <m:oMathPara>
        <m:oMathParaPr>
          <m:jc m:val="center"/>
        </m:oMathParaPr>
        <m:oMath>
          <m:sSub>
            <m:e>
              <m:r>
                <m:t>a</m:t>
              </m:r>
            </m:e>
            <m:sub>
              <m:r>
                <m:t>i</m:t>
              </m:r>
            </m:sub>
          </m:sSub>
          <m:r>
            <m:rPr>
              <m:sty m:val="p"/>
            </m:rPr>
            <m:t>=</m:t>
          </m:r>
          <m:f>
            <m:fPr>
              <m:type m:val="bar"/>
            </m:fPr>
            <m:num>
              <m:r>
                <m:t>1</m:t>
              </m:r>
            </m:num>
            <m:den>
              <m:sSub>
                <m:e>
                  <m:r>
                    <m:t>λ</m:t>
                  </m:r>
                </m:e>
                <m:sub>
                  <m:r>
                    <m:t>i</m:t>
                  </m:r>
                </m:sub>
              </m:sSub>
            </m:den>
          </m:f>
          <m:r>
            <m:t>  </m:t>
          </m:r>
          <m:d>
            <m:dPr>
              <m:begChr m:val="("/>
              <m:endChr m:val=")"/>
              <m:sepChr m:val=""/>
              <m:grow/>
            </m:dPr>
            <m:e>
              <m:r>
                <m:t>2.5</m:t>
              </m:r>
            </m:e>
          </m:d>
        </m:oMath>
      </m:oMathPara>
      <w:bookmarkEnd w:id="41"/>
    </w:p>
    <w:p>
      <w:pPr>
        <w:pStyle w:val="FirstParagraph"/>
      </w:pPr>
      <w:bookmarkStart w:id="42" w:name="eq-delta_par_item_location"/>
      <m:oMathPara>
        <m:oMathParaPr>
          <m:jc m:val="center"/>
        </m:oMathParaPr>
        <m:oMath>
          <m:sSub>
            <m:e>
              <m:r>
                <m:t>b</m:t>
              </m:r>
            </m:e>
            <m:sub>
              <m:r>
                <m:t>i</m:t>
              </m:r>
              <m:r>
                <m:t>k</m:t>
              </m:r>
            </m:sub>
          </m:sSub>
          <m:r>
            <m:rPr>
              <m:sty m:val="p"/>
            </m:rPr>
            <m:t>=</m:t>
          </m:r>
          <m:f>
            <m:fPr>
              <m:type m:val="bar"/>
            </m:fPr>
            <m:num>
              <m:sSub>
                <m:e>
                  <m:r>
                    <m:t>τ</m:t>
                  </m:r>
                </m:e>
                <m:sub>
                  <m:r>
                    <m:t>i</m:t>
                  </m:r>
                  <m:r>
                    <m:t>k</m:t>
                  </m:r>
                </m:sub>
              </m:sSub>
            </m:num>
            <m:den>
              <m:sSub>
                <m:e>
                  <m:r>
                    <m:t>λ</m:t>
                  </m:r>
                </m:e>
                <m:sub>
                  <m:r>
                    <m:t>i</m:t>
                  </m:r>
                </m:sub>
              </m:sSub>
            </m:den>
          </m:f>
          <m:r>
            <m:t>  </m:t>
          </m:r>
          <m:d>
            <m:dPr>
              <m:begChr m:val="("/>
              <m:endChr m:val=")"/>
              <m:sepChr m:val=""/>
              <m:grow/>
            </m:dPr>
            <m:e>
              <m:r>
                <m:t>2.6</m:t>
              </m:r>
            </m:e>
          </m:d>
        </m:oMath>
      </m:oMathPara>
      <w:bookmarkEnd w:id="42"/>
    </w:p>
    <w:p>
      <w:pPr>
        <w:pStyle w:val="FirstParagraph"/>
      </w:pPr>
      <w:r>
        <w:t xml:space="preserve">Although the previous expressions do not include variance terms for each item or residual terms (i.e., uniqueness), these terms can be made part of the model in multigroup specifications (Asparouhov &amp; Muthén, 2020). We can make this explicit if we review the GRM parameterizations and its latent scale formulation. The GRM model has two parameterizations, the theta parameterization and the delta parameterization. These two parameterizations reach identical model fit, and the estimated parameters can be considered rotations of one another (Grimm et al., 2016). The difference between two parameterizations are the fixed parameters included for model identification purposes. We used to the latent scale formulation of the GRM to describe this different model constraints. In a single factor model, the latent scale formulation can be expressed as follows:</w:t>
      </w:r>
    </w:p>
    <w:p>
      <w:pPr>
        <w:pStyle w:val="BodyText"/>
      </w:pPr>
      <w:bookmarkStart w:id="43" w:name="eq-latent_formulation"/>
      <m:oMathPara>
        <m:oMathParaPr>
          <m:jc m:val="center"/>
        </m:oMathParaPr>
        <m:oMath>
          <m:sSubSup>
            <m:e>
              <m:r>
                <m:t>y</m:t>
              </m:r>
            </m:e>
            <m:sub>
              <m:r>
                <m:t>i</m:t>
              </m:r>
              <m:r>
                <m:t>p</m:t>
              </m:r>
            </m:sub>
            <m:sup>
              <m:r>
                <m:rPr>
                  <m:sty m:val="p"/>
                </m:rPr>
                <m:t>*</m:t>
              </m:r>
            </m:sup>
          </m:sSubSup>
          <m:r>
            <m:rPr>
              <m:sty m:val="p"/>
            </m:rPr>
            <m:t>=</m:t>
          </m:r>
          <m:sSub>
            <m:e>
              <m:r>
                <m:t>λ</m:t>
              </m:r>
            </m:e>
            <m:sub>
              <m:r>
                <m:t>i</m:t>
              </m:r>
            </m:sub>
          </m:sSub>
          <m:sSub>
            <m:e>
              <m:r>
                <m:t>θ</m:t>
              </m:r>
            </m:e>
            <m:sub>
              <m:r>
                <m:t>p</m:t>
              </m:r>
            </m:sub>
          </m:sSub>
          <m:r>
            <m:rPr>
              <m:sty m:val="p"/>
            </m:rPr>
            <m:t>+</m:t>
          </m:r>
          <m:sSub>
            <m:e>
              <m:r>
                <m:t>e</m:t>
              </m:r>
            </m:e>
            <m:sub>
              <m:r>
                <m:t>p</m:t>
              </m:r>
              <m:r>
                <m:t>i</m:t>
              </m:r>
            </m:sub>
          </m:sSub>
          <m:r>
            <m:t>  </m:t>
          </m:r>
          <m:d>
            <m:dPr>
              <m:begChr m:val="("/>
              <m:endChr m:val=")"/>
              <m:sepChr m:val=""/>
              <m:grow/>
            </m:dPr>
            <m:e>
              <m:r>
                <m:t>2.7</m:t>
              </m:r>
            </m:e>
          </m:d>
        </m:oMath>
      </m:oMathPara>
      <w:bookmarkEnd w:id="43"/>
    </w:p>
    <w:p>
      <w:pPr>
        <w:pStyle w:val="FirstParagraph"/>
      </w:pPr>
      <w:r>
        <w:t xml:space="preserve">In the theta formulation the variance of each e_pi is fixed to 1; while in the delta formulation this variance term is fixed to</w:t>
      </w:r>
      <w:r>
        <w:t xml:space="preserve"> </w:t>
      </w:r>
      <m:oMath>
        <m:r>
          <m:t>1</m:t>
        </m:r>
        <m:r>
          <m:rPr>
            <m:sty m:val="p"/>
          </m:rPr>
          <m:t>−</m:t>
        </m:r>
        <m:sSubSup>
          <m:e>
            <m:r>
              <m:t>σ</m:t>
            </m:r>
          </m:e>
          <m:sub>
            <m:r>
              <m:t>e</m:t>
            </m:r>
            <m:r>
              <m:t>x</m:t>
            </m:r>
            <m:r>
              <m:t>p</m:t>
            </m:r>
            <m:r>
              <m:t>l</m:t>
            </m:r>
            <m:r>
              <m:t>a</m:t>
            </m:r>
            <m:r>
              <m:t>i</m:t>
            </m:r>
            <m:r>
              <m:t>n</m:t>
            </m:r>
            <m:r>
              <m:t>e</m:t>
            </m:r>
            <m:r>
              <m:t>d</m:t>
            </m:r>
          </m:sub>
          <m:sup>
            <m:r>
              <m:t>2</m:t>
            </m:r>
          </m:sup>
        </m:sSubSup>
      </m:oMath>
      <w:r>
        <w:t xml:space="preserve">. Hence, the delta parameterization is a standardized solution (Grimm et al., 2016). The relationship between the two-model parameterization is a scale factor. For a single factor model where the latent factor variance is fixed 1, the estimates of factor loadings and thresholds in the theta parameterization are greater by a scale factor. This scale factor is</w:t>
      </w:r>
      <w:r>
        <w:t xml:space="preserve"> </w:t>
      </w:r>
      <m:oMath>
        <m:f>
          <m:fPr>
            <m:type m:val="bar"/>
          </m:fPr>
          <m:num>
            <m:r>
              <m:t>1</m:t>
            </m:r>
          </m:num>
          <m:den>
            <m:rad>
              <m:radPr>
                <m:degHide m:val="on"/>
              </m:radPr>
              <m:deg/>
              <m:e>
                <m:r>
                  <m:t>1</m:t>
                </m:r>
                <m:r>
                  <m:rPr>
                    <m:sty m:val="p"/>
                  </m:rPr>
                  <m:t>−</m:t>
                </m:r>
                <m:sSubSup>
                  <m:e>
                    <m:r>
                      <m:t>σ</m:t>
                    </m:r>
                  </m:e>
                  <m:sub>
                    <m:r>
                      <m:t>e</m:t>
                    </m:r>
                    <m:r>
                      <m:t>x</m:t>
                    </m:r>
                    <m:r>
                      <m:t>p</m:t>
                    </m:r>
                    <m:r>
                      <m:t>l</m:t>
                    </m:r>
                    <m:r>
                      <m:t>a</m:t>
                    </m:r>
                    <m:r>
                      <m:t>i</m:t>
                    </m:r>
                    <m:r>
                      <m:t>n</m:t>
                    </m:r>
                    <m:r>
                      <m:t>e</m:t>
                    </m:r>
                    <m:r>
                      <m:t>d</m:t>
                    </m:r>
                  </m:sub>
                  <m:sup>
                    <m:r>
                      <m:t>2</m:t>
                    </m:r>
                  </m:sup>
                </m:sSubSup>
              </m:e>
            </m:rad>
          </m:den>
        </m:f>
      </m:oMath>
      <w:r>
        <w:t xml:space="preserve"> </w:t>
      </w:r>
      <w:r>
        <w:t xml:space="preserve">.</w:t>
      </w:r>
    </w:p>
    <w:p>
      <w:pPr>
        <w:pStyle w:val="BodyText"/>
      </w:pPr>
      <w:r>
        <w:t xml:space="preserve">The delta parameterization estimated solutions has been found to be more stable (Muthén &amp; Asparouhov, 2002). The present version of the rd3c3 library implements different model specifications of the GRM using the delta parameterization.</w:t>
      </w:r>
    </w:p>
    <w:bookmarkEnd w:id="44"/>
    <w:bookmarkStart w:id="48" w:name="X13fc3f78f53288765e93c029515dff28a666881"/>
    <w:p>
      <w:pPr>
        <w:pStyle w:val="Heading2"/>
      </w:pPr>
      <w:r>
        <w:t xml:space="preserve">2.2 Invariance model specifications with the GRM model</w:t>
      </w:r>
    </w:p>
    <w:p>
      <w:pPr>
        <w:pStyle w:val="FirstParagraph"/>
      </w:pPr>
      <w:r>
        <w:t xml:space="preserve">A measurement model can be considered invariant if all measurement model parameters can be held equal across groups, besides the group latent means. This general idea applies to measurement models fitted onto polytomous responses including confirmatory factor analysis with continuous indicators, graded response models (e.g., Wu &amp; Estabrook, 2016; Tse et al., 2024) and to latent class models (e.g., Masyn, 2017; Torres Irribarra &amp; Carrasco, 2021); that is latent variable models with latent factors that are discrete instead of normally distributed (Torres Irribarra, 2021). This is the most demanding form of measurement equivalence between groups, usually described as strict invariance across different measurement models.</w:t>
      </w:r>
    </w:p>
    <w:p>
      <w:pPr>
        <w:pStyle w:val="BodyText"/>
      </w:pPr>
      <w:r>
        <w:t xml:space="preserve">A more relaxed version of invariance model specification is scalar invariance. In this model specification all measurement model parameters are held equal across groups, beside latent means, with varying item residuals. Although GRM does not include item residuals or item variance terms in its formulation, scale factors from the delta parameterization and item residuals in the theta parameterization can be made part of the model for multigroup specifications (Asparouhov &amp; Muthén, 2020) and in longitudinal model specifications (Grimm et al., 2016). In the scalar invariance model specification with delta parameterization in the GRM scale factors are fix to one in the reference group and let free to vary in the rest of the contrasting groups (Grimm et al., 2016; Svetina et al., 2020; Tse et al., 2024).</w:t>
      </w:r>
    </w:p>
    <w:p>
      <w:pPr>
        <w:pStyle w:val="BodyText"/>
      </w:pPr>
      <w:r>
        <w:t xml:space="preserve">In the case of GRM, model specifications where more parameters allow to vary freely between groups are not able to provide latent mean comparisons (Wu &amp; Estabrook, 2016). These includes models with common factor loadings, but free thresholds, models with common thresholds but free factor loadings, and purely descriptive models where all measurement model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measurement model parameters can be considered invariant across countries besides their group means, one can assure that countries can be compared in a common scale.</w:t>
      </w:r>
    </w:p>
    <w:p>
      <w:pPr>
        <w:pStyle w:val="BodyText"/>
      </w:pPr>
      <w:r>
        <w:t xml:space="preserve">A common practice in measurement invariance literature with CFA for continuous indicators is to start with the model with less constrains (e.g., Dimitrov, 2010) and continue further till the most constrained model (i.e., strict invariance). In essence, this is a model building sequence (Kline, 2023). In this sequence, different model specifications are included. The first, is the configural model specification where only the model structure is common, yet all measurement model parameters vary freely between groups. Then is followed by the metric model specification where only factor loadings are held equal. Yet, in this model specification there are no parameters in the multi-group model to compare latent means between groups (e.g. Wu &amp; Estabrook, 2016). In this model, latent factors have centered latent means, latent means fixed to zero. In a third stage, the scalar 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is included, the strict model. In this model specification all measurement model parameters are held equal among groups, with the exemption of latent means. In the model building sequence, the new parameter that is held common among groups are uniqueness or error variances (Brown, 2006). This last model specification also allows to compare groups on latent means, while assuming residual error of the measurement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assessing if strict invariance holds among groups, before relying on total scores (e.g., observed means) for group comparisons. Then, if strict invariance fails, then one should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measurement model parameters).</w:t>
      </w:r>
    </w:p>
    <w:p>
      <w:pPr>
        <w:pStyle w:val="BodyText"/>
      </w:pPr>
      <w:r>
        <w:t xml:space="preserve">In the following figure, we summarize the parameters of the measurement model that can be held equal between groups in each of the model specification for CFA with continuous and for CFA with ordinal indicators (i.e., GRM with delta parameterization).</w:t>
      </w:r>
    </w:p>
    <w:p>
      <w:pPr>
        <w:pStyle w:val="CaptionedFigure"/>
      </w:pPr>
      <w:r>
        <w:drawing>
          <wp:inline>
            <wp:extent cx="4000500" cy="2857500"/>
            <wp:effectExtent b="0" l="0" r="0" t="0"/>
            <wp:docPr descr="Figure 1: response model parameters being held equal in each model specification." title="" id="46" name="Picture"/>
            <a:graphic>
              <a:graphicData uri="http://schemas.openxmlformats.org/drawingml/2006/picture">
                <pic:pic>
                  <pic:nvPicPr>
                    <pic:cNvPr descr="figure_1_specifications.png" id="47" name="Picture"/>
                    <pic:cNvPicPr>
                      <a:picLocks noChangeArrowheads="1" noChangeAspect="1"/>
                    </pic:cNvPicPr>
                  </pic:nvPicPr>
                  <pic:blipFill>
                    <a:blip r:embed="rId45"/>
                    <a:stretch>
                      <a:fillRect/>
                    </a:stretch>
                  </pic:blipFill>
                  <pic:spPr bwMode="auto">
                    <a:xfrm>
                      <a:off x="0" y="0"/>
                      <a:ext cx="4000500" cy="2857500"/>
                    </a:xfrm>
                    <a:prstGeom prst="rect">
                      <a:avLst/>
                    </a:prstGeom>
                    <a:noFill/>
                    <a:ln w="9525">
                      <a:noFill/>
                      <a:headEnd/>
                      <a:tailEnd/>
                    </a:ln>
                  </pic:spPr>
                </pic:pic>
              </a:graphicData>
            </a:graphic>
          </wp:inline>
        </w:drawing>
      </w:r>
    </w:p>
    <w:p>
      <w:pPr>
        <w:pStyle w:val="ImageCaption"/>
      </w:pPr>
      <w:r>
        <w:t xml:space="preserve">Figure 1: response model parameters being held equal in each model specification.</w:t>
      </w:r>
    </w:p>
    <w:p>
      <w:pPr>
        <w:pStyle w:val="BodyText"/>
      </w:pPr>
      <w:r>
        <w:t xml:space="preserve">The present table is a summary of the different measurement model parameters that are held equal among groups to specify each model specification. For both measurement models, the configural model specification is a purely descriptive model, where all parameters are free to vary in both models, with the exemption of latent means and latent factor variances which are fixed to zero and one respectively. In contrast, the metric model specification described for CFA with continuous indicators doesn’t have the same interpretation for CFA with ordinal indicators. According to Wu &amp; Estabrook (2016) thresholds needs to be held common across groups to assure models are nested in the modelling sequence: configural, threshold, scalar, strict. There is alternative model specifications discuss by Wu &amp; Estabrook (2016), and by Tse et al. (2024) for the configural solution, in which factor loadings are held common between groups, and thresholds are held common for marker indicators instead of all items. In the present table, we are following Svetina et al. (2020) model specification for configural and threshold invariance models.</w:t>
      </w:r>
      <w:r>
        <w:t xml:space="preserve"> </w:t>
      </w:r>
      <w:r>
        <w:t xml:space="preserve">The threshold invariant model is a baseline model from which model comparisons can be made in contrast to scalar and strict solutions of the GRM model. In the present guideline we will review these model specifications in more detail in section 4, following Svetina et al. (2020) using the delta parameterization, while using a model trimming sequence starting from the strict model specification with common thresholds. Model specification where only thresholds are held common for marker indicators are not covered. Interested readers on this option can consult Tse et al. (2024) for this alternative model specification.</w:t>
      </w:r>
    </w:p>
    <w:p>
      <w:pPr>
        <w:pStyle w:val="BodyText"/>
      </w:pPr>
      <w:r>
        <w:t xml:space="preserve">It should be clear that not all model specifications propose for CFA with continuous indicators are equivalent for other measurement models. The weak invariance (e.g., Dimitrov, 2010) or metric invariance model specification (Wu &amp; Estabrook, 2016) from CFA with continuous indicators, where common factor loadings are held equal across groups, do not reach a model specification that holds the same interpretation for CFA with ordinal indicators (Wu &amp; Estabrook, 2016; Svetina, et al. 2020; Tse, et al., 2024) if thresholds are allow to vary freely. A similar observation can be done for the assumed interpretation of the metric model specification with latent class models (e.g., Hooghe &amp; Oser, 2015; Hooghe et al., 2016). The metric model specification applied to latent class models is a special case of a non-invariant solution (Masyn, 2017) and doesn’t hold the same interpretation of the random term across groups, the configuration of the latent classes (Torres Irribarra, et al., 2021). In summary, model specifications to assess measurement invariance may not hold in the same way for all measurement models. The metric invariance model specification is an example on this regard.</w:t>
      </w:r>
    </w:p>
    <w:p>
      <w:pPr>
        <w:pStyle w:val="BodyText"/>
      </w:pPr>
      <w:r>
        <w:t xml:space="preserve">If invariance holds, the purpose is to assert that group differences are on the random term of the measurement model with a common interpretation. For the case of continuous latent factors, the aim is to assert groups are different in terms of their location in the latent continuum, but not on their expected responses to items at equal levels of the latent factor. For the case of discrete latent factors, the aim is to asserts that groups can vary in size regarding the latent classes, but not on the response probabilities for each compared group if persons belong to the same latent class. If the model specification doesn’t provide group differences with a common interpretation, then substantive conclusions regarding group differences are not tenable as one expects because these do not have a common meaning across groups.</w:t>
      </w:r>
      <w:r>
        <w:t xml:space="preserve"> </w:t>
      </w:r>
      <w:r>
        <w:t xml:space="preserve">In the following section (section 2) we will describe what are partially invariant solutions.</w:t>
      </w:r>
    </w:p>
    <w:bookmarkEnd w:id="48"/>
    <w:bookmarkStart w:id="49" w:name="references-1"/>
    <w:p>
      <w:pPr>
        <w:pStyle w:val="Heading2"/>
      </w:pPr>
      <w:r>
        <w:t xml:space="preserve">2.3 References</w:t>
      </w:r>
    </w:p>
    <w:p>
      <w:pPr>
        <w:pStyle w:val="FirstParagraph"/>
      </w:pPr>
      <w:r>
        <w:t xml:space="preserve">Adams, R. J., Wu, M. L., &amp; Wilson, M. (2012). The Rasch Rating Model and the Disordered Threshold Controversy. Educational and Psychological Measurement, 72(4), 547–573. https://doi.org/10.1177/0013164411432166</w:t>
      </w:r>
    </w:p>
    <w:p>
      <w:pPr>
        <w:pStyle w:val="BodyText"/>
      </w:pPr>
      <w:r>
        <w:t xml:space="preserve">Agresti, A. (2010). Analysis of Ordinal Categorical Data. John Wiley &amp; Sons, Inc.</w:t>
      </w:r>
    </w:p>
    <w:p>
      <w:pPr>
        <w:pStyle w:val="BodyText"/>
      </w:pPr>
      <w:r>
        <w:t xml:space="preserve">Asparouhov, T., &amp; Muthén, B. (2020). IRT in Mplus. In Mplus Technical Appendix. https://www.statmodel.com/download/MplusIRT.pdf</w:t>
      </w:r>
    </w:p>
    <w:p>
      <w:pPr>
        <w:pStyle w:val="BodyText"/>
      </w:pPr>
      <w:r>
        <w:t xml:space="preserve">Borsboom, D. (2005). Measuring the Mind. Cambridge University Press.</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Brown, T. A. (2006). Confirmatory factor analysis for applied research. Guilford Press.</w:t>
      </w:r>
    </w:p>
    <w:p>
      <w:pPr>
        <w:pStyle w:val="BodyText"/>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De Boeck, P., &amp; Wilson, M. (2004). Explanatory Item Response Models (P. De Boeck &amp; M. Wilson (eds.)). Springer New York. https://doi.org/10.1007/978-1-4757-3990-9</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Engelhard, G. J., &amp; Wind, S. A. (2018). Invariant Measurement with raters and rating scales. Routledge.</w:t>
      </w:r>
    </w:p>
    <w:p>
      <w:pPr>
        <w:pStyle w:val="BodyText"/>
      </w:pPr>
      <w:r>
        <w:t xml:space="preserve">Farkas, G. (2003). Cognitive Skills and Noncognitive Traits and Behaviors in Stratification Processes. Annual Review of Sociology, 29, 541–562. https://doi.org/10.1146/annurev.soc.29.010202.100023</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Mellenbergh, G. J. (1994). Generalized linear item response theory. Psychological Bulletin, 115(2), 300–307. https://doi.org/10.1037//0033-2909.115.2.300</w:t>
      </w:r>
    </w:p>
    <w:p>
      <w:pPr>
        <w:pStyle w:val="BodyText"/>
      </w:pPr>
      <w:r>
        <w:t xml:space="preserve">Muthén, B., &amp; Asparouhov, T. (2002). Latent variable analysis with categorical outcomes: Multiple-group and growth modeling in Mplus. Retrieved from http://www.statmodel.com/download/webnotes/ CatMGLong.pdf</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Schulz, W., Carstens, R., Losito, B., &amp; Fraillon, J. (2018). ICCS 2016 Technical Report (W. Schulz, R. Carstens, B. Losito, &amp; J. Fraillon (eds.)). International Association for the Evaluation of Educational Achievement (IEA).</w:t>
      </w:r>
    </w:p>
    <w:p>
      <w:pPr>
        <w:pStyle w:val="BodyText"/>
      </w:pPr>
      <w:r>
        <w:t xml:space="preserve">Skrondal, A., &amp; Rabe-Hesketh, S. (2004). Generalized latent variable modeling: Multilevel, longitudinal, and structural equation models. Chapman &amp; Hall CRC.</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Von Davier, M. (2020). TIMSS 2019 Scaling Methodology: Item Response Theory , Population Models , and Linking Across Modes. In M. O. Martin, M. Von Davier, &amp; I. V. S. Mullis (Eds.), Methods and Procedures: TIMSS 2019 Technical Report (pp. 11.1-11.25). TIMSS &amp; PIRLS International Study Center, Lynch School of Education and Human Development, Boston College and International Association for the Evaluation of Educational Achievement (IEA).</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9"/>
    <w:bookmarkEnd w:id="50"/>
    <w:bookmarkStart w:id="52"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measurement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measurement model. For instance, in case of causal inference exercises such as experiments and intervention studies, where control and treated groups are compared, if a treatment effect holds equally for 10 out of 12 items within a scale, assertions between treated and non-treated can be made safely for these 10 items, while not making such claims onto the two non-invariant indicators (e.g., Gilbert, 2024).</w:t>
      </w:r>
    </w:p>
    <w:p>
      <w:pPr>
        <w:pStyle w:val="BodyText"/>
      </w:pPr>
      <w:r>
        <w:t xml:space="preserve">However, if the number of non-invariant parameters in the measurement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measurement model, while taking into account the number of groups being compared (Muhen &amp; Asparouhov, 2014, p3), and the research purpose.</w:t>
      </w:r>
    </w:p>
    <w:p>
      <w:pPr>
        <w:pStyle w:val="BodyText"/>
      </w:pPr>
      <w:r>
        <w:t xml:space="preserve">There are few caveats to consider regarding partially invariant models when group comparisons are of interest. If non-invariant items are excluded, this selective exclusion can alter the meaning of the generated score. Exclusion of non-invariant items can narrow the scope of the attribute of interest. For example, if one has three groups, and twelve items, is possible to have a scenario in which the measurement model is invariant for two of the three groups. And simultaneously, the measurement equivalence could hold with only four out of the twelve items for the three groups. As such, researchers can have the dilemma of narrowing the amount of indicators at the cost of reliability and narrowing the meaning of the generated score; and compare the three groups. Or, to do comparison across all the items for only two of the three groups. Yet, with partially invariant model while is allowed to keep all indicators in the measurement model, the meaning of the group differences would partially generalize to the responses where the measurement model parameters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measurement model to exclude non-invariant items, or to freely estimate measurement model indicators between partially comparable groups, demands meticulous attention to detail and an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measurement model. This method searches for an optimal solution where the number of discrepant parameters (i.e., non-invariant) is minimized. Alignment is an approach that’s becoming a popular method for invariance studies in large-scale assessment research literature, with applications in different studies including Trends in International Mathematics and Science Study (TIMSS) (e.g., Yiğiter, 2024), International Civic and Citizenship Education Study (ICCS) (e.g., Ziemes, 2024), Program for International Student Assessment (PISA) (e.g., Wurster, 2022), Teaching and Learning International Survey (TALIS) (e.g., Fang et al., 2025), to name a few. Interested readers can consult Sandoval-Hernandez et al. (2025) for a scoping review on the topic.</w:t>
      </w:r>
    </w:p>
    <w:p>
      <w:pPr>
        <w:pStyle w:val="BodyText"/>
      </w:pPr>
      <w:r>
        <w:t xml:space="preserve">Although is a procedure which helps to search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a judgment call regarding if the reached solution is a useful model specification for their purposes, considering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interesting tool to search for partially invariant model specification in cases where strict and scalar invariance is not held. Apart from aligment methods, there are other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in the</w:t>
      </w:r>
      <w:r>
        <w:t xml:space="preserve"> </w:t>
      </w:r>
      <w:r>
        <w:rPr>
          <w:rStyle w:val="VerbatimChar"/>
        </w:rPr>
        <w:t xml:space="preserve">library(rd3c3)</w:t>
      </w:r>
      <w:r>
        <w:t xml:space="preserve">, and how it can help to fit model-based measurement invariance onto graded response models, and how it helps to fit alignment method optimization onto the same measurement models.</w:t>
      </w:r>
    </w:p>
    <w:bookmarkStart w:id="51"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Fang, G., Teo, T., &amp; Chan, P. W. K. (2025). Testing for approximate measurement invariance of instructional quality in the Teaching and Learning International Survey (TALIS) 2018. Humanities and Social Sciences Communications, 12(1), 520. https://doi.org/10.1057/s41599-025-04870-4</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p>
      <w:pPr>
        <w:pStyle w:val="BodyText"/>
      </w:pPr>
      <w:r>
        <w:t xml:space="preserve">Wurster, S. (2022). Measurement invariance of non-cognitive measures in TIMSS across countries and across time. An application and comparison of Multigroup Confirmatory Factor Analysis, Bayesian approximate measurement invariance and alignment optimization approach. Studies in Educational Evaluation, 73, 101143. https://doi.org/10.1016/j.stueduc.2022.101143</w:t>
      </w:r>
    </w:p>
    <w:p>
      <w:pPr>
        <w:pStyle w:val="BodyText"/>
      </w:pPr>
      <w:r>
        <w:t xml:space="preserve">Yiğiter, M. S. (2024). Cross-National Measurement of Mathematics Intrinsic Motivation: An Investigate of Measurement Invariance with MG-CFA and Aligment Method Across Fourteen Countries. Journal of Theoretical Educational Science, 17(1), 1–27. https://doi.org/10.30831/akukeg.1207350</w:t>
      </w:r>
    </w:p>
    <w:p>
      <w:pPr>
        <w:pStyle w:val="BodyText"/>
      </w:pPr>
      <w:r>
        <w:t xml:space="preserve">Ziemes, J. F. (2024). Political trust among European youth: Evaluating multi -dimensionality and cross-national measurement comparability. Studies in Educational Evaluation, 73, 101321. https://doi.org/10.1016/j.stueduc.2023.101321</w:t>
      </w:r>
    </w:p>
    <w:bookmarkEnd w:id="51"/>
    <w:bookmarkEnd w:id="52"/>
    <w:bookmarkStart w:id="68" w:name="library-overview"/>
    <w:p>
      <w:pPr>
        <w:pStyle w:val="Heading1"/>
      </w:pPr>
      <w:r>
        <w:t xml:space="preserve">4. Library overview</w:t>
      </w:r>
    </w:p>
    <w:bookmarkStart w:id="53"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3"/>
    <w:bookmarkStart w:id="54"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measurement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contains functions to apply alignment methods onto the same measurement model among groups. It relies on MplusAutomation (Hallquist &amp; Wiley, 2018), to fit measurement models using Mplus (Muthén &amp; Muthén, 2017), so all fitted models can take into account sample design features of large-scale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4"/>
    <w:bookmarkStart w:id="58"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 scale_info, is filled-in and is called into the R session, the wrapper functions can resolve which items are subject to an analysis, within a define data object a particular data frame. We illustrate the general logic of the wrapper functions with the following diagram.</w:t>
      </w:r>
    </w:p>
    <w:p>
      <w:pPr>
        <w:pStyle w:val="CaptionedFigure"/>
      </w:pPr>
      <w:r>
        <w:drawing>
          <wp:inline>
            <wp:extent cx="5334000" cy="2788694"/>
            <wp:effectExtent b="0" l="0" r="0" t="0"/>
            <wp:docPr descr="Figure 2: wrapper function logic" title="" id="56" name="Picture"/>
            <a:graphic>
              <a:graphicData uri="http://schemas.openxmlformats.org/drawingml/2006/picture">
                <pic:pic>
                  <pic:nvPicPr>
                    <pic:cNvPr descr="figure_2_wrapper_logic.png" id="57" name="Picture"/>
                    <pic:cNvPicPr>
                      <a:picLocks noChangeArrowheads="1" noChangeAspect="1"/>
                    </pic:cNvPicPr>
                  </pic:nvPicPr>
                  <pic:blipFill>
                    <a:blip r:embed="rId55"/>
                    <a:stretch>
                      <a:fillRect/>
                    </a:stretch>
                  </pic:blipFill>
                  <pic:spPr bwMode="auto">
                    <a:xfrm>
                      <a:off x="0" y="0"/>
                      <a:ext cx="5334000" cy="2788694"/>
                    </a:xfrm>
                    <a:prstGeom prst="rect">
                      <a:avLst/>
                    </a:prstGeom>
                    <a:noFill/>
                    <a:ln w="9525">
                      <a:noFill/>
                      <a:headEnd/>
                      <a:tailEnd/>
                    </a:ln>
                  </pic:spPr>
                </pic:pic>
              </a:graphicData>
            </a:graphic>
          </wp:inline>
        </w:drawing>
      </w:r>
    </w:p>
    <w:p>
      <w:pPr>
        <w:pStyle w:val="ImageCaption"/>
      </w:pPr>
      <w:r>
        <w:t xml:space="preserve">Figure 2: wrapper function logic</w:t>
      </w:r>
    </w:p>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8"/>
    <w:bookmarkStart w:id="65"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p>
      <w:pPr>
        <w:pStyle w:val="CaptionedFigure"/>
      </w:pPr>
      <w:r>
        <w:drawing>
          <wp:inline>
            <wp:extent cx="5334000" cy="4373880"/>
            <wp:effectExtent b="0" l="0" r="0" t="0"/>
            <wp:docPr descr="Figure 3: wrapper function logic within a dynamic report" title="" id="60" name="Picture"/>
            <a:graphic>
              <a:graphicData uri="http://schemas.openxmlformats.org/drawingml/2006/picture">
                <pic:pic>
                  <pic:nvPicPr>
                    <pic:cNvPr descr="figure_3_report_logic.png" id="61" name="Picture"/>
                    <pic:cNvPicPr>
                      <a:picLocks noChangeArrowheads="1" noChangeAspect="1"/>
                    </pic:cNvPicPr>
                  </pic:nvPicPr>
                  <pic:blipFill>
                    <a:blip r:embed="rId59"/>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Figure 3: wrapper function logic within a dynamic report</w:t>
      </w:r>
    </w:p>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scale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p>
      <w:pPr>
        <w:pStyle w:val="CaptionedFigure"/>
      </w:pPr>
      <w:r>
        <w:drawing>
          <wp:inline>
            <wp:extent cx="5334000" cy="1962265"/>
            <wp:effectExtent b="0" l="0" r="0" t="0"/>
            <wp:docPr descr="Figure 4: dynamic reports" title="" id="63" name="Picture"/>
            <a:graphic>
              <a:graphicData uri="http://schemas.openxmlformats.org/drawingml/2006/picture">
                <pic:pic>
                  <pic:nvPicPr>
                    <pic:cNvPr descr="figure_4_report.png" id="64" name="Picture"/>
                    <pic:cNvPicPr>
                      <a:picLocks noChangeArrowheads="1" noChangeAspect="1"/>
                    </pic:cNvPicPr>
                  </pic:nvPicPr>
                  <pic:blipFill>
                    <a:blip r:embed="rId62"/>
                    <a:stretch>
                      <a:fillRect/>
                    </a:stretch>
                  </pic:blipFill>
                  <pic:spPr bwMode="auto">
                    <a:xfrm>
                      <a:off x="0" y="0"/>
                      <a:ext cx="5334000" cy="1962265"/>
                    </a:xfrm>
                    <a:prstGeom prst="rect">
                      <a:avLst/>
                    </a:prstGeom>
                    <a:noFill/>
                    <a:ln w="9525">
                      <a:noFill/>
                      <a:headEnd/>
                      <a:tailEnd/>
                    </a:ln>
                  </pic:spPr>
                </pic:pic>
              </a:graphicData>
            </a:graphic>
          </wp:inline>
        </w:drawing>
      </w:r>
    </w:p>
    <w:p>
      <w:pPr>
        <w:pStyle w:val="ImageCaption"/>
      </w:pPr>
      <w:r>
        <w:t xml:space="preserve">Figure 4: dynamic reports</w:t>
      </w:r>
    </w:p>
    <w:bookmarkEnd w:id="65"/>
    <w:bookmarkStart w:id="66"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from the alignment analysis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measurement model. For example if the distribution of item location is concentrated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measurement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6"/>
    <w:bookmarkStart w:id="67"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7"/>
    <w:bookmarkEnd w:id="68"/>
    <w:bookmarkStart w:id="91" w:name="applied-examples"/>
    <w:p>
      <w:pPr>
        <w:pStyle w:val="Heading1"/>
      </w:pPr>
      <w:r>
        <w:t xml:space="preserve">5. Applied Examples</w:t>
      </w:r>
    </w:p>
    <w:bookmarkStart w:id="70"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9">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70"/>
    <w:bookmarkStart w:id="74" w:name="invariance-analysis"/>
    <w:p>
      <w:pPr>
        <w:pStyle w:val="Heading2"/>
      </w:pPr>
      <w:r>
        <w:t xml:space="preserve">5.2 Invariance analysis</w:t>
      </w:r>
    </w:p>
    <w:bookmarkStart w:id="72"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measurement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beside latent means for groups (Tse et al., 2024), while including the scale factors as part of the model.</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 where scale factors are fix to one for the reference group, and let to vary free on the rest of the groups in the comparison.</w:t>
      </w:r>
    </w:p>
    <w:p>
      <w:pPr>
        <w:numPr>
          <w:ilvl w:val="0"/>
          <w:numId w:val="1016"/>
        </w:numPr>
      </w:pPr>
      <w:r>
        <w:rPr>
          <w:bCs/>
          <w:b/>
        </w:rPr>
        <w:t xml:space="preserve">threshold</w:t>
      </w:r>
      <w:r>
        <w:t xml:space="preserve"> </w:t>
      </w:r>
      <w:r>
        <w:t xml:space="preserve">is a multigroup graded response model, where thresholds are held common among the compared countries (i.e., threshold invariance). Is the baseline model for a model building sequence for assessing model-based measurement invariance (Wu &amp; Estabrook, 2016). It follows model specifications described in Svetina et al. (2020, proposition 4).</w:t>
      </w:r>
    </w:p>
    <w:p>
      <w:pPr>
        <w:numPr>
          <w:ilvl w:val="0"/>
          <w:numId w:val="1016"/>
        </w:numPr>
      </w:pPr>
      <w:r>
        <w:rPr>
          <w:bCs/>
          <w:b/>
        </w:rPr>
        <w:t xml:space="preserve">configural</w:t>
      </w:r>
      <w:r>
        <w:t xml:space="preserve"> </w:t>
      </w:r>
      <w:r>
        <w:t xml:space="preserve">is a multigroup graded response model, where all measurement model parameters are freely estimated among the compare groups, while holding latent factor means fix to zero, and factor variances fixed to one across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well-fitting measurement models with invariant parameters among compared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69">
        <w:r>
          <w:rPr>
            <w:rStyle w:val="VerbatimChar"/>
          </w:rPr>
          <w:t xml:space="preserve">data_ex1.rds</w:t>
        </w:r>
      </w:hyperlink>
    </w:p>
    <w:p>
      <w:pPr>
        <w:numPr>
          <w:ilvl w:val="0"/>
          <w:numId w:val="1017"/>
        </w:numPr>
        <w:pStyle w:val="Compact"/>
      </w:pPr>
      <w:r>
        <w:t xml:space="preserve">scale_info =</w:t>
      </w:r>
      <w:r>
        <w:t xml:space="preserve"> </w:t>
      </w:r>
      <w:hyperlink r:id="rId71">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rd3c3::fit_grm2_m03_threshold</w:t>
      </w:r>
      <w:r>
        <w:t xml:space="preserve"> </w:t>
      </w:r>
      <w:r>
        <w:t xml:space="preserve">for the threshold model</w:t>
      </w:r>
    </w:p>
    <w:p>
      <w:pPr>
        <w:numPr>
          <w:ilvl w:val="1"/>
          <w:numId w:val="1018"/>
        </w:numPr>
        <w:pStyle w:val="Compact"/>
      </w:pPr>
      <w:r>
        <w:rPr>
          <w:rStyle w:val="VerbatimChar"/>
        </w:rPr>
        <w:t xml:space="preserve">rd3c3::fit_grm2_m04_config</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threshold</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fit_grm2_m03_threshold</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'threshold'</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'configural'</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threshold</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configural</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measurement model fitted onto the pooled sample. strict = is a multigroup measurement model with common thresholds, common loadings, and a common scale. This latent variable model suffices mean score comparisons (Tse et al., 2024). scalar = is a multigroup measurement model with common thresholds, common loadings, and free scales for each item. This model supports latent mean comparisons (Tse et al., 2024). threshold = is a multigroup measurement model with common thresholds. configural = is a multigroup descriptive model where all measurement model parameter are free to vary. Metric model specification is not identified under the graded response models (Wu &amp; Estabrook, 2016), thus metric specifications are not included. A RMSEA of .055 or less has been found to be good threshold for fit for graded response models with many groups of 10 or 20 compared groups (see Rutkowski &amp; Svetina, 2017).</w:t>
      </w:r>
    </w:p>
    <w:bookmarkEnd w:id="72"/>
    <w:bookmarkStart w:id="73" w:name="alignment"/>
    <w:p>
      <w:pPr>
        <w:pStyle w:val="Heading3"/>
      </w:pPr>
      <w:r>
        <w:t xml:space="preserve">5.2.2 Alignment</w:t>
      </w:r>
    </w:p>
    <w:p>
      <w:pPr>
        <w:pStyle w:val="FirstParagraph"/>
      </w:pPr>
      <w:r>
        <w:t xml:space="preserve">The alignment method is optimizing for the least discrepant measurement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used as inputs:</w:t>
      </w:r>
    </w:p>
    <w:p>
      <w:pPr>
        <w:numPr>
          <w:ilvl w:val="0"/>
          <w:numId w:val="1019"/>
        </w:numPr>
        <w:pStyle w:val="Compact"/>
      </w:pPr>
      <w:r>
        <w:t xml:space="preserve">data_responses</w:t>
      </w:r>
      <w:r>
        <w:t xml:space="preserve"> </w:t>
      </w:r>
      <w:hyperlink r:id="rId69">
        <w:r>
          <w:rPr>
            <w:rStyle w:val="VerbatimChar"/>
          </w:rPr>
          <w:t xml:space="preserve">data_ex1.rds</w:t>
        </w:r>
      </w:hyperlink>
    </w:p>
    <w:p>
      <w:pPr>
        <w:numPr>
          <w:ilvl w:val="0"/>
          <w:numId w:val="1019"/>
        </w:numPr>
        <w:pStyle w:val="Compact"/>
      </w:pPr>
      <w:r>
        <w:t xml:space="preserve">scale_info =</w:t>
      </w:r>
      <w:r>
        <w:t xml:space="preserve"> </w:t>
      </w:r>
      <w:hyperlink r:id="rId71">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3"/>
    <w:bookmarkEnd w:id="74"/>
    <w:bookmarkStart w:id="81"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p>
      <w:pPr>
        <w:pStyle w:val="CaptionedFigure"/>
      </w:pPr>
      <w:r>
        <w:drawing>
          <wp:inline>
            <wp:extent cx="5334000" cy="4442509"/>
            <wp:effectExtent b="0" l="0" r="0" t="0"/>
            <wp:docPr descr="Figure 5: overview of a dynamic item report" title="" id="76" name="Picture"/>
            <a:graphic>
              <a:graphicData uri="http://schemas.openxmlformats.org/drawingml/2006/picture">
                <pic:pic>
                  <pic:nvPicPr>
                    <pic:cNvPr descr="figure_5_overview.png" id="77" name="Picture"/>
                    <pic:cNvPicPr>
                      <a:picLocks noChangeArrowheads="1" noChangeAspect="1"/>
                    </pic:cNvPicPr>
                  </pic:nvPicPr>
                  <pic:blipFill>
                    <a:blip r:embed="rId75"/>
                    <a:stretch>
                      <a:fillRect/>
                    </a:stretch>
                  </pic:blipFill>
                  <pic:spPr bwMode="auto">
                    <a:xfrm>
                      <a:off x="0" y="0"/>
                      <a:ext cx="5334000" cy="4442509"/>
                    </a:xfrm>
                    <a:prstGeom prst="rect">
                      <a:avLst/>
                    </a:prstGeom>
                    <a:noFill/>
                    <a:ln w="9525">
                      <a:noFill/>
                      <a:headEnd/>
                      <a:tailEnd/>
                    </a:ln>
                  </pic:spPr>
                </pic:pic>
              </a:graphicData>
            </a:graphic>
          </wp:inline>
        </w:drawing>
      </w:r>
    </w:p>
    <w:p>
      <w:pPr>
        <w:pStyle w:val="ImageCaption"/>
      </w:pPr>
      <w:r>
        <w:t xml:space="preserve">Figure 5: overview of a dynamic item report</w:t>
      </w:r>
    </w:p>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69">
        <w:r>
          <w:rPr>
            <w:rStyle w:val="VerbatimChar"/>
          </w:rPr>
          <w:t xml:space="preserve">data_ex1.rds</w:t>
        </w:r>
      </w:hyperlink>
    </w:p>
    <w:p>
      <w:pPr>
        <w:numPr>
          <w:ilvl w:val="0"/>
          <w:numId w:val="1026"/>
        </w:numPr>
        <w:pStyle w:val="Compact"/>
      </w:pPr>
      <w:r>
        <w:t xml:space="preserve">scale_info =</w:t>
      </w:r>
      <w:r>
        <w:t xml:space="preserve"> </w:t>
      </w:r>
      <w:hyperlink r:id="rId71">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8">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79">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80">
        <w:r>
          <w:rPr>
            <w:rStyle w:val="VerbatimChar"/>
          </w:rPr>
          <w:t xml:space="preserve">guideline_item_report_example.docx</w:t>
        </w:r>
      </w:hyperlink>
    </w:p>
    <w:bookmarkEnd w:id="81"/>
    <w:bookmarkStart w:id="89"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data response files. One example with three countries, where is possible to see that three countries do not obtain strict invariance (example with</w:t>
      </w:r>
      <w:r>
        <w:t xml:space="preserve"> </w:t>
      </w:r>
      <w:r>
        <w:t xml:space="preserve">“</w:t>
      </w:r>
      <w:r>
        <w:t xml:space="preserve">Sense of School Belonging</w:t>
      </w:r>
      <w:r>
        <w:t xml:space="preserve">”</w:t>
      </w:r>
      <w:r>
        <w:t xml:space="preserve"> </w:t>
      </w:r>
      <w:r>
        <w:t xml:space="preserve">for three countries). And a third example of a template-based workflow, where we procede with a full fledge item analysis report including all participating countries (example with the</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82">
        <w:r>
          <w:rPr>
            <w:rStyle w:val="VerbatimChar"/>
          </w:rPr>
          <w:t xml:space="preserve">data_example.rds</w:t>
        </w:r>
      </w:hyperlink>
    </w:p>
    <w:p>
      <w:pPr>
        <w:numPr>
          <w:ilvl w:val="1"/>
          <w:numId w:val="1029"/>
        </w:numPr>
        <w:pStyle w:val="Compact"/>
      </w:pPr>
      <w:r>
        <w:t xml:space="preserve">code template:</w:t>
      </w:r>
      <w:r>
        <w:t xml:space="preserve"> </w:t>
      </w:r>
      <w:hyperlink r:id="rId83">
        <w:r>
          <w:rPr>
            <w:rStyle w:val="VerbatimChar"/>
          </w:rPr>
          <w:t xml:space="preserve">template_example_2.rmd</w:t>
        </w:r>
      </w:hyperlink>
    </w:p>
    <w:p>
      <w:pPr>
        <w:numPr>
          <w:ilvl w:val="2"/>
          <w:numId w:val="1030"/>
        </w:numPr>
        <w:pStyle w:val="Compact"/>
      </w:pPr>
      <w:r>
        <w:t xml:space="preserve">word template:</w:t>
      </w:r>
      <w:r>
        <w:t xml:space="preserve"> </w:t>
      </w:r>
      <w:hyperlink r:id="rId79">
        <w:r>
          <w:rPr>
            <w:rStyle w:val="VerbatimChar"/>
          </w:rPr>
          <w:t xml:space="preserve">report_template.docx</w:t>
        </w:r>
      </w:hyperlink>
    </w:p>
    <w:p>
      <w:pPr>
        <w:numPr>
          <w:ilvl w:val="1"/>
          <w:numId w:val="1029"/>
        </w:numPr>
        <w:pStyle w:val="Compact"/>
      </w:pPr>
      <w:r>
        <w:t xml:space="preserve">resulting report:</w:t>
      </w:r>
      <w:r>
        <w:t xml:space="preserve"> </w:t>
      </w:r>
      <w:hyperlink r:id="rId84">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5">
        <w:r>
          <w:rPr>
            <w:rStyle w:val="VerbatimChar"/>
          </w:rPr>
          <w:t xml:space="preserve">survey_1_g8.rds</w:t>
        </w:r>
      </w:hyperlink>
    </w:p>
    <w:p>
      <w:pPr>
        <w:numPr>
          <w:ilvl w:val="1"/>
          <w:numId w:val="1031"/>
        </w:numPr>
        <w:pStyle w:val="Compact"/>
      </w:pPr>
      <w:r>
        <w:t xml:space="preserve">code template:</w:t>
      </w:r>
      <w:r>
        <w:t xml:space="preserve"> </w:t>
      </w:r>
      <w:hyperlink r:id="rId86">
        <w:r>
          <w:rPr>
            <w:rStyle w:val="VerbatimChar"/>
          </w:rPr>
          <w:t xml:space="preserve">template_example_3.rmd</w:t>
        </w:r>
      </w:hyperlink>
    </w:p>
    <w:p>
      <w:pPr>
        <w:numPr>
          <w:ilvl w:val="2"/>
          <w:numId w:val="1032"/>
        </w:numPr>
        <w:pStyle w:val="Compact"/>
      </w:pPr>
      <w:r>
        <w:t xml:space="preserve">word template:</w:t>
      </w:r>
      <w:r>
        <w:t xml:space="preserve"> </w:t>
      </w:r>
      <w:hyperlink r:id="rId79">
        <w:r>
          <w:rPr>
            <w:rStyle w:val="VerbatimChar"/>
          </w:rPr>
          <w:t xml:space="preserve">report_template.docx</w:t>
        </w:r>
      </w:hyperlink>
    </w:p>
    <w:p>
      <w:pPr>
        <w:numPr>
          <w:ilvl w:val="1"/>
          <w:numId w:val="1031"/>
        </w:numPr>
        <w:pStyle w:val="Compact"/>
      </w:pPr>
      <w:r>
        <w:t xml:space="preserve">resulting report</w:t>
      </w:r>
      <w:r>
        <w:t xml:space="preserve"> </w:t>
      </w:r>
      <w:hyperlink r:id="rId87">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8">
        <w:r>
          <w:rPr>
            <w:rStyle w:val="Hyperlink"/>
          </w:rPr>
          <w:t xml:space="preserve">link</w:t>
        </w:r>
      </w:hyperlink>
      <w:r>
        <w:t xml:space="preserve">.</w:t>
      </w:r>
    </w:p>
    <w:bookmarkEnd w:id="89"/>
    <w:bookmarkStart w:id="90"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90"/>
    <w:bookmarkEnd w:id="91"/>
    <w:bookmarkStart w:id="92"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measurement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of results. Researchers are encouraged to use this resource judiciously and within its intended purpose, recognizing its limitations and their own role in ensuring the quality of their conclusions.</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3" TargetMode="External" /><Relationship Type="http://schemas.openxmlformats.org/officeDocument/2006/relationships/hyperlink" Id="rId21" Target="https://github.com/michaelhallquist/MplusAutomation" TargetMode="External" /><Relationship Type="http://schemas.openxmlformats.org/officeDocument/2006/relationships/hyperlink" Id="rId87" Target="https://www.dropbox.com/scl/fi/aa6ixsa7f0sb8w8fzd6lc/template_example_3.docx?rlkey=t3x1a2lobtwjdj5irn0p6of2i&amp;dl=1" TargetMode="External" /><Relationship Type="http://schemas.openxmlformats.org/officeDocument/2006/relationships/hyperlink" Id="rId69" Target="https://www.dropbox.com/scl/fi/aivrd2rw2lhw5o7ly06jn/data_ex1.rds?rlkey=3clglj3fdlh5o6myv3q8et9xz&amp;dl=1" TargetMode="External" /><Relationship Type="http://schemas.openxmlformats.org/officeDocument/2006/relationships/hyperlink" Id="rId80" Target="https://www.dropbox.com/scl/fi/cin16b5eq1qxmdiei559o/guideline_item_report_example.docx?rlkey=micaggo6k39n2dmuw3ceuar8w&amp;dl=1" TargetMode="External" /><Relationship Type="http://schemas.openxmlformats.org/officeDocument/2006/relationships/hyperlink" Id="rId71" Target="https://www.dropbox.com/scl/fi/ey0z7zpdyhuxcutedyz73/guideline_scale_info_example.xlsx?rlkey=75hh3l7o56vb0njo3eurxxhzm&amp;dl=1" TargetMode="External" /><Relationship Type="http://schemas.openxmlformats.org/officeDocument/2006/relationships/hyperlink" Id="rId84" Target="https://www.dropbox.com/scl/fi/h5yq3xwmmmerfw85sb1wn/template_example_2.docx?rlkey=2dutcmiwlknt4pqs27oxtnhtw&amp;dl=1" TargetMode="External" /><Relationship Type="http://schemas.openxmlformats.org/officeDocument/2006/relationships/hyperlink" Id="rId79" Target="https://www.dropbox.com/scl/fi/jiixz2dvju0vogva5wlla/report_template.docx?rlkey=1tqqfzbdqwdfy505ms5u5r7w5&amp;dl=1" TargetMode="External" /><Relationship Type="http://schemas.openxmlformats.org/officeDocument/2006/relationships/hyperlink" Id="rId82" Target="https://www.dropbox.com/scl/fi/m7s8qb1k618bihu5jmcou/data_example.rds?rlkey=mo9iylrj1td0hjsqlq0zcemv9&amp;dl=1" TargetMode="External" /><Relationship Type="http://schemas.openxmlformats.org/officeDocument/2006/relationships/hyperlink" Id="rId78" Target="https://www.dropbox.com/scl/fi/nagxx42dcq53rp6dtxex3/guideline_item_report_example.rmd?rlkey=576jslusp6o42pq3105lr789a&amp;dl=1" TargetMode="External" /><Relationship Type="http://schemas.openxmlformats.org/officeDocument/2006/relationships/hyperlink" Id="rId83" Target="https://www.dropbox.com/scl/fi/o3z2y6epp7s200p0f5mel/template_example_2.rmd?rlkey=7xc311qpjr3plb4gpmbzbn5zo&amp;dl=1" TargetMode="External" /><Relationship Type="http://schemas.openxmlformats.org/officeDocument/2006/relationships/hyperlink" Id="rId85" Target="https://www.dropbox.com/scl/fi/xmqoem0k87ppmk7sh59r6/survey_1_g8.rds?rlkey=n0pbk17ro6ct725hk9759892w&amp;dl=1" TargetMode="External" /><Relationship Type="http://schemas.openxmlformats.org/officeDocument/2006/relationships/hyperlink" Id="rId86" Target="https://www.dropbox.com/scl/fi/xy1wdeyzzwy5t96c56ttp/template_example_3.rmd?rlkey=y5h1usj85hjyo8aydh0hp483t&amp;dl=1" TargetMode="External" /><Relationship Type="http://schemas.openxmlformats.org/officeDocument/2006/relationships/hyperlink" Id="rId88"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2025-05-22T02:34:26Z</dcterms:created>
  <dcterms:modified xsi:type="dcterms:W3CDTF">2025-05-22T02:34:26Z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2025-04-16</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