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validation_cover"/>
      <w:pPr>
        <w:pStyle w:val="Heading1"/>
      </w:pPr>
      <w:r>
        <w:t>Points à valider · mat_reco v0.2</w:t>
      </w:r>
      <w:bookmarkEnd w:id="1"/>
    </w:p>
    <w:p>
      <w:pPr>
        <w:pStyle w:val="Caption"/>
      </w:pPr>
      <w:r>
        <w:t>Contrôleur documentaire, responsables atelier / stock et administrateur du site</w:t>
      </w:r>
    </w:p>
    <w:p>
      <w:r>
        <w:t>Décisions ouvertes et limites à résoudre avant diffusion officielle. Le manuel et ses captures conservent ces réserves. Aucune soumission métier n’a été effectuée pour fabriquer ce lot.</w:t>
      </w:r>
    </w:p>
    <w:p>
      <w:r>
        <w:br w:type="page"/>
      </w:r>
    </w:p>
    <w:p>
      <w:bookmarkStart w:id="2" w:name="validation_0"/>
      <w:pPr>
        <w:pStyle w:val="Heading1"/>
      </w:pPr>
      <w:r>
        <w:t>Décisions 1 à 4</w:t>
      </w:r>
      <w:bookmarkEnd w:id="2"/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V01 · Ordre MCP / Repack  </w:t>
      </w:r>
      <w:r>
        <w:t>Ne pas déclarer une procédure officielle avant contrôle sur le site.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Responsable atelier + stock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Valider les cas brouillon, MCP soumis et Repack partiel / complet.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V02 · Rôles et droits  </w:t>
      </w:r>
      <w:r>
        <w:t>Les DocTypes mat_reco livrent System Manager ; les rôles opérateur sont une proposition.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Administrateur / responsable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Confirmer droits de lecture, écriture, soumission et annulation.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V03 · Chemin fournisseur  </w:t>
      </w:r>
      <w:r>
        <w:t>Purchase Order n’est pas requis dans toutes les réceptions.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Achats / stock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Définir quand utiliser PO → PR et quand utiliser Material Receipt Plan.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V04 · Double réception  </w:t>
      </w:r>
      <w:r>
        <w:t>Les deux circuits ne doivent pas compter deux fois les mêmes unités.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Stock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Valider l’identification du justificatif et des séries par circuit.</w:t>
      </w:r>
    </w:p>
    <w:p>
      <w:r>
        <w:t>Décision / preuve : __________________________________________________</w:t>
      </w:r>
    </w:p>
    <w:p>
      <w:r>
        <w:br w:type="page"/>
      </w:r>
    </w:p>
    <w:p>
      <w:bookmarkStart w:id="3" w:name="validation_4"/>
      <w:pPr>
        <w:pStyle w:val="Heading1"/>
      </w:pPr>
      <w:r>
        <w:t>Décisions 5 à 8</w:t>
      </w:r>
      <w:bookmarkEnd w:id="3"/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V05 · Chemins de facturation  </w:t>
      </w:r>
      <w:r>
        <w:t>Livraison → Facture est un parcours pédagogique, pas une obligation universelle.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Commercial / facturation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Valider les chemins directs depuis SO et les règles Update Stock.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V06 · Activation des scripts et fixtures  </w:t>
      </w:r>
      <w:r>
        <w:t>Les scripts du dépôt ne prouvent pas leur activation sur le site.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Administrateur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Vérifier scripts Quotation, Purchase Receipt, dimensions, bundles et impressions.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V07 · Champs de dimensions  </w:t>
      </w:r>
      <w:r>
        <w:t>Les noms et le report d’épaisseur doivent être contrôlés dans les métadonnées du site.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Administrateur / stock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Confirmer Purchase Receipt, Serial No et lignes commerciales.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V08 · Dialogue Repack SO  </w:t>
      </w:r>
      <w:r>
        <w:t>Une version est dans le script public, une autre dans les Client Scripts.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Administrateur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Choisir Create Repack ou Generate Repack et éviter les doublons.</w:t>
      </w:r>
    </w:p>
    <w:p>
      <w:r>
        <w:t>Décision / preuve : __________________________________________________</w:t>
      </w:r>
    </w:p>
    <w:p>
      <w:r>
        <w:br w:type="page"/>
      </w:r>
    </w:p>
    <w:p>
      <w:bookmarkStart w:id="4" w:name="validation_8"/>
      <w:pPr>
        <w:pStyle w:val="Heading1"/>
      </w:pPr>
      <w:r>
        <w:t>Décisions 9 à 12</w:t>
      </w:r>
      <w:bookmarkEnd w:id="4"/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V09 · Reconfiguration historique  </w:t>
      </w:r>
      <w:r>
        <w:t>Material Reconfiguration conserve un cycle spécifique et des effets sur séries.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Responsable atelier / stock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Confirmer si ce circuit reste utilisé ; tester soumission et annulation isolément.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V10 · Material Production Plan  </w:t>
      </w:r>
      <w:r>
        <w:t>Le contrôleur actuel est vide ; aucun flux automatisé démontré.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Responsable produit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Exclure, utiliser manuellement ou développer avant de former.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V11 · Politique déchets  </w:t>
      </w:r>
      <w:r>
        <w:t>Add Waiste to stock change les sorties attendues.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Responsable stock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Définir la règle et les articles / entrepôts associés.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V12 · Qualité et contraintes physiques  </w:t>
      </w:r>
      <w:r>
        <w:t>L’optimisation ne certifie pas toutes les contraintes machine ou de matériau.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Responsable atelier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Valider kerf réel, sens matière, qualité et admissibilité des variantes.</w:t>
      </w:r>
    </w:p>
    <w:p>
      <w:r>
        <w:t>Décision / preuve : __________________________________________________</w:t>
      </w:r>
    </w:p>
    <w:p>
      <w:r>
        <w:br w:type="page"/>
      </w:r>
    </w:p>
    <w:p>
      <w:bookmarkStart w:id="5" w:name="validation_12"/>
      <w:pPr>
        <w:pStyle w:val="Heading1"/>
      </w:pPr>
      <w:r>
        <w:t>Décisions 13 à 16</w:t>
      </w:r>
      <w:bookmarkEnd w:id="5"/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V13 · Coûts et mouvements réels  </w:t>
      </w:r>
      <w:r>
        <w:t>Le manuel décrit le code, pas une recette complète de valorisation soumise.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Stock / comptabilité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Tester réception, Repack, répartition, arrondis et annulations sur jeu de recette.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V14 · Captures en session ERPNext  </w:t>
      </w:r>
      <w:r>
        <w:t>Aucune capture en session métier authentifiée n’est revendiquée.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Référent documentaire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Remplacer les vues reconstituées et confirmer l’apparence des hôtes de dialogue.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V15 · Traçabilité de bout en bout  </w:t>
      </w:r>
      <w:r>
        <w:t>Des liens existent ; leur complétude sur chaque série doit être contrôlée.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Stock / expédition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Valider matière racine, série parent, MCP, Stock Entry, SO et bundle livré.</w:t>
      </w:r>
    </w:p>
    <w:p>
      <w:r>
        <w:t>Décision / preuve : __________________________________________________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A97118"/>
        </w:rPr>
        <w:t xml:space="preserve">  V16 · Recette exceptions  </w:t>
      </w:r>
      <w:r>
        <w:t>L’historique doit rester cohérent après casse successive ou production partielle.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7355AA"/>
        </w:rPr>
        <w:t xml:space="preserve">  Responsable  </w:t>
      </w:r>
      <w:r>
        <w:t>Atelier / stock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118800" cy="118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" cy="118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246FA9"/>
        </w:rPr>
        <w:t xml:space="preserve">  Validation attendue  </w:t>
      </w:r>
      <w:r>
        <w:t>Tester unités manquantes, seconde casse, stock épuisé, conflit et verrou soumis.</w:t>
      </w:r>
    </w:p>
    <w:p>
      <w:r>
        <w:t>Décision / preuve : __________________________________________________</w:t>
      </w:r>
    </w:p>
    <w:p>
      <w:r>
        <w:br w:type="page"/>
      </w:r>
    </w:p>
    <w:p>
      <w:bookmarkStart w:id="6" w:name="missing"/>
      <w:pPr>
        <w:pStyle w:val="Heading1"/>
      </w:pPr>
      <w:r>
        <w:t>Captures manquantes et contrôles de site</w:t>
      </w:r>
      <w:bookmarkEnd w:id="6"/>
    </w:p>
    <w:p>
      <w:pPr>
        <w:pStyle w:val="Caption"/>
      </w:pPr>
      <w:r>
        <w:t>Tableau 1 — Remplacement documentaire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</w:trPr>
        <w:tc>
          <w:tcPr>
            <w:tcW w:type="dxa" w:w="5046"/>
            <w:shd w:fill="174C72"/>
          </w:tcPr>
          <w:p>
            <w:r>
              <w:rPr>
                <w:b/>
                <w:color w:val="FFFFFF"/>
                <w:sz w:val="18"/>
              </w:rPr>
              <w:t>Groupe</w:t>
            </w:r>
          </w:p>
        </w:tc>
        <w:tc>
          <w:tcPr>
            <w:tcW w:type="dxa" w:w="5046"/>
            <w:shd w:fill="174C72"/>
          </w:tcPr>
          <w:p>
            <w:r>
              <w:rPr>
                <w:b/>
                <w:color w:val="FFFFFF"/>
                <w:sz w:val="18"/>
              </w:rPr>
              <w:t>Visuels de session réelle à obtenir</w:t>
            </w:r>
          </w:p>
        </w:tc>
      </w:tr>
      <w:tr>
        <w:trPr>
          <w:cantSplit/>
        </w:trPr>
        <w:tc>
          <w:tcPr>
            <w:tcW w:type="dxa" w:w="5046"/>
            <w:shd w:fill="F1F5F9"/>
          </w:tcPr>
          <w:p>
            <w:pPr>
              <w:spacing w:after="40"/>
            </w:pPr>
            <w:r>
              <w:rPr>
                <w:sz w:val="17"/>
              </w:rPr>
              <w:t>Fournisseur</w:t>
            </w:r>
          </w:p>
        </w:tc>
        <w:tc>
          <w:tcPr>
            <w:tcW w:type="dxa" w:w="5046"/>
            <w:shd w:fill="F1F5F9"/>
          </w:tcPr>
          <w:p>
            <w:pPr>
              <w:spacing w:after="40"/>
            </w:pPr>
            <w:r>
              <w:rPr>
                <w:sz w:val="17"/>
              </w:rPr>
              <w:t>Purchase Order, Purchase Receipt, Material Receipt Plan, Serial No, stock disponible.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/>
            </w:pPr>
            <w:r>
              <w:rPr>
                <w:sz w:val="17"/>
              </w:rPr>
              <w:t>Client</w:t>
            </w:r>
          </w:p>
        </w:tc>
        <w:tc>
          <w:tcPr>
            <w:tcW w:type="dxa" w:w="5046"/>
          </w:tcPr>
          <w:p>
            <w:pPr>
              <w:spacing w:after="40"/>
            </w:pPr>
            <w:r>
              <w:rPr>
                <w:sz w:val="17"/>
              </w:rPr>
              <w:t>Quotation, services / accessoires, Sales Order, Delivery Note, bundles, Sales Invoice.</w:t>
            </w:r>
          </w:p>
        </w:tc>
      </w:tr>
      <w:tr>
        <w:trPr>
          <w:cantSplit/>
        </w:trPr>
        <w:tc>
          <w:tcPr>
            <w:tcW w:type="dxa" w:w="5046"/>
            <w:shd w:fill="F1F5F9"/>
          </w:tcPr>
          <w:p>
            <w:pPr>
              <w:spacing w:after="40"/>
            </w:pPr>
            <w:r>
              <w:rPr>
                <w:sz w:val="17"/>
              </w:rPr>
              <w:t>Atelier</w:t>
            </w:r>
          </w:p>
        </w:tc>
        <w:tc>
          <w:tcPr>
            <w:tcW w:type="dxa" w:w="5046"/>
            <w:shd w:fill="F1F5F9"/>
          </w:tcPr>
          <w:p>
            <w:pPr>
              <w:spacing w:after="40"/>
            </w:pPr>
            <w:r>
              <w:rPr>
                <w:sz w:val="17"/>
              </w:rPr>
              <w:t>MCP complet, actions et compensation reliés à un compte habilité ; sauvegardes réellement confirmées.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40"/>
            </w:pPr>
            <w:r>
              <w:rPr>
                <w:sz w:val="17"/>
              </w:rPr>
              <w:t>Stock</w:t>
            </w:r>
          </w:p>
        </w:tc>
        <w:tc>
          <w:tcPr>
            <w:tcW w:type="dxa" w:w="5046"/>
          </w:tcPr>
          <w:p>
            <w:pPr>
              <w:spacing w:after="40"/>
            </w:pPr>
            <w:r>
              <w:rPr>
                <w:sz w:val="17"/>
              </w:rPr>
              <w:t>Repack découpe, recomposition, mouvements soumis, coûts et nouveaux Serial No.</w:t>
            </w:r>
          </w:p>
        </w:tc>
      </w:tr>
      <w:tr>
        <w:trPr>
          <w:cantSplit/>
        </w:trPr>
        <w:tc>
          <w:tcPr>
            <w:tcW w:type="dxa" w:w="5046"/>
            <w:shd w:fill="F1F5F9"/>
          </w:tcPr>
          <w:p>
            <w:pPr>
              <w:spacing w:after="40"/>
            </w:pPr>
            <w:r>
              <w:rPr>
                <w:sz w:val="17"/>
              </w:rPr>
              <w:t>Historique / annexe</w:t>
            </w:r>
          </w:p>
        </w:tc>
        <w:tc>
          <w:tcPr>
            <w:tcW w:type="dxa" w:w="5046"/>
            <w:shd w:fill="F1F5F9"/>
          </w:tcPr>
          <w:p>
            <w:pPr>
              <w:spacing w:after="40"/>
            </w:pPr>
            <w:r>
              <w:rPr>
                <w:sz w:val="17"/>
              </w:rPr>
              <w:t>Material Reconfiguration, Material Issue Plan ; activation réelle des boutons.</w:t>
            </w:r>
          </w:p>
        </w:tc>
      </w:tr>
    </w:tbl>
    <w:p>
      <w:r>
        <w:t>Les images de démonstration / reconstitution sont utilisables pour la base éditoriale mais ne doivent pas être renommées « capture réelle ERPNext » lors de la finalisation graphique.</w:t>
      </w:r>
    </w:p>
    <w:p>
      <w:r>
        <w:br w:type="page"/>
      </w:r>
    </w:p>
    <w:p>
      <w:bookmarkStart w:id="7" w:name="changes"/>
      <w:pPr>
        <w:pStyle w:val="Heading1"/>
      </w:pPr>
      <w:r>
        <w:t>Écarts avec la version v0.1</w:t>
      </w:r>
      <w:bookmarkEnd w:id="7"/>
    </w:p>
    <w:p>
      <w:r>
        <w:t>• Passage de fonctions isolées à trois flux convergents.</w:t>
      </w:r>
    </w:p>
    <w:p>
      <w:r>
        <w:t>• 64 fiches métier avec position, pourquoi, actions, contrôles, résultat et suite.</w:t>
      </w:r>
    </w:p>
    <w:p>
      <w:r>
        <w:t>• Repack de découpe séparé du Repack de recomposition.</w:t>
      </w:r>
    </w:p>
    <w:p>
      <w:r>
        <w:t>• Fournisseur et Client développés, avec transitions C07 → A01 et S14 → C08.</w:t>
      </w:r>
    </w:p>
    <w:p>
      <w:r>
        <w:t>• 7 cartes de flux, 64 mini-graphes, 13 icônes et 60 captures indexées.</w:t>
      </w:r>
    </w:p>
    <w:p>
      <w:r>
        <w:t>• Index Excel, storyboard, sources éditoriales, exercices et décisions séparées.</w:t>
      </w:r>
    </w:p>
    <w:p>
      <w:r>
        <w:t>• Traçabilité de chaque visuel ; limites de session et de recette clairement conservées.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907" w:bottom="737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14 octobre 2026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mat_reco  |  Guide global des parcours  |  V0.2 — À valider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4C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4C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00"/>
      <w:contextualSpacing/>
    </w:pPr>
    <w:rPr>
      <w:rFonts w:asciiTheme="majorHAnsi" w:eastAsiaTheme="majorEastAsia" w:hAnsiTheme="majorHAnsi" w:cstheme="majorBidi" w:ascii="Calibri" w:hAnsi="Calibri"/>
      <w:color w:val="174C7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0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0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b/>
      <w:bCs/>
      <w:color w:val="617487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Points à valider — mat_reco v0.2</dc:title>
  <dc:subject>Fournisseur · Client · Atelier · Stock</dc:subject>
  <dc:creator>Base éditoriale mat_reco pour validation documentaire et Skywork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