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ook w:val="04A0" w:firstRow="1" w:lastRow="0" w:firstColumn="1" w:lastColumn="0" w:noHBand="0" w:noVBand="1"/>
      </w:tblPr>
      <w:tblGrid>
        <w:gridCol w:w="9792"/>
      </w:tblGrid>
      <w:tr w:rsidR="007E31C3" w14:paraId="0DEC00EB" w14:textId="77777777">
        <w:trPr>
          <w:jc w:val="center"/>
        </w:trPr>
        <w:tc>
          <w:tcPr>
            <w:tcW w:w="9792" w:type="dxa"/>
            <w:shd w:val="clear" w:color="auto" w:fill="6B1A2A"/>
          </w:tcPr>
          <w:p w14:paraId="46AA786B" w14:textId="77777777" w:rsidR="007E31C3" w:rsidRDefault="00000000">
            <w:pPr>
              <w:spacing w:before="440"/>
              <w:jc w:val="center"/>
            </w:pPr>
            <w:r>
              <w:rPr>
                <w:rFonts w:ascii="Garamond" w:hAnsi="Garamond"/>
                <w:b/>
                <w:color w:val="FFFFFF"/>
                <w:sz w:val="40"/>
              </w:rPr>
              <w:t>Wine Shop &amp; Delicatessen</w:t>
            </w:r>
          </w:p>
          <w:p w14:paraId="14DA6ECD" w14:textId="77777777" w:rsidR="007E31C3" w:rsidRDefault="00000000">
            <w:pPr>
              <w:jc w:val="center"/>
            </w:pPr>
            <w:r>
              <w:rPr>
                <w:rFonts w:ascii="Garamond" w:hAnsi="Garamond"/>
                <w:b/>
                <w:color w:val="D48A95"/>
                <w:sz w:val="32"/>
              </w:rPr>
              <w:t>Customer Behavior Analysis</w:t>
            </w:r>
          </w:p>
          <w:p w14:paraId="1AD95E5B" w14:textId="77777777" w:rsidR="007E31C3" w:rsidRDefault="00000000">
            <w:pPr>
              <w:spacing w:before="120"/>
              <w:jc w:val="center"/>
            </w:pPr>
            <w:r>
              <w:rPr>
                <w:rFonts w:ascii="Garamond" w:hAnsi="Garamond"/>
                <w:i/>
                <w:color w:val="FFFFFF"/>
              </w:rPr>
              <w:t>Strategic Marketing Report</w:t>
            </w:r>
          </w:p>
          <w:p w14:paraId="20057F29" w14:textId="77777777" w:rsidR="007E31C3" w:rsidRDefault="00000000">
            <w:pPr>
              <w:spacing w:before="120" w:after="440"/>
              <w:jc w:val="center"/>
            </w:pPr>
            <w:r>
              <w:rPr>
                <w:rFonts w:ascii="Garamond" w:hAnsi="Garamond"/>
                <w:color w:val="D48A95"/>
                <w:sz w:val="20"/>
              </w:rPr>
              <w:t>May 2026</w:t>
            </w:r>
          </w:p>
        </w:tc>
      </w:tr>
    </w:tbl>
    <w:p w14:paraId="31EBF39D" w14:textId="77777777" w:rsidR="007E31C3" w:rsidRDefault="007E31C3"/>
    <w:tbl>
      <w:tblPr>
        <w:tblW w:w="0" w:type="auto"/>
        <w:jc w:val="center"/>
        <w:tblLook w:val="04A0" w:firstRow="1" w:lastRow="0" w:firstColumn="1" w:lastColumn="0" w:noHBand="0" w:noVBand="1"/>
      </w:tblPr>
      <w:tblGrid>
        <w:gridCol w:w="3249"/>
        <w:gridCol w:w="3249"/>
        <w:gridCol w:w="3249"/>
      </w:tblGrid>
      <w:tr w:rsidR="007E31C3" w14:paraId="3B705015" w14:textId="77777777">
        <w:trPr>
          <w:jc w:val="center"/>
        </w:trPr>
        <w:tc>
          <w:tcPr>
            <w:tcW w:w="3249" w:type="dxa"/>
            <w:shd w:val="clear" w:color="auto" w:fill="FAF5F0"/>
          </w:tcPr>
          <w:p w14:paraId="43EDA95F" w14:textId="77777777" w:rsidR="007E31C3" w:rsidRDefault="00000000">
            <w:pPr>
              <w:spacing w:before="200"/>
              <w:jc w:val="center"/>
            </w:pPr>
            <w:r>
              <w:rPr>
                <w:rFonts w:ascii="Garamond" w:hAnsi="Garamond"/>
                <w:b/>
                <w:color w:val="6B1A2A"/>
                <w:sz w:val="44"/>
              </w:rPr>
              <w:t>404</w:t>
            </w:r>
          </w:p>
          <w:p w14:paraId="0F878B77" w14:textId="77777777" w:rsidR="007E31C3" w:rsidRDefault="00000000">
            <w:pPr>
              <w:jc w:val="center"/>
            </w:pPr>
            <w:r>
              <w:rPr>
                <w:rFonts w:ascii="Garamond" w:hAnsi="Garamond"/>
                <w:color w:val="444444"/>
                <w:sz w:val="18"/>
              </w:rPr>
              <w:t>Customers surveyed</w:t>
            </w:r>
          </w:p>
        </w:tc>
        <w:tc>
          <w:tcPr>
            <w:tcW w:w="3249" w:type="dxa"/>
            <w:shd w:val="clear" w:color="auto" w:fill="FAF5F0"/>
          </w:tcPr>
          <w:p w14:paraId="5DFE0190" w14:textId="77777777" w:rsidR="007E31C3" w:rsidRDefault="00000000">
            <w:pPr>
              <w:spacing w:before="200"/>
              <w:jc w:val="center"/>
            </w:pPr>
            <w:r>
              <w:rPr>
                <w:rFonts w:ascii="Garamond" w:hAnsi="Garamond"/>
                <w:b/>
                <w:color w:val="6B1A2A"/>
                <w:sz w:val="44"/>
              </w:rPr>
              <w:t>4</w:t>
            </w:r>
          </w:p>
          <w:p w14:paraId="748EC707" w14:textId="77777777" w:rsidR="007E31C3" w:rsidRDefault="00000000">
            <w:pPr>
              <w:jc w:val="center"/>
            </w:pPr>
            <w:r>
              <w:rPr>
                <w:rFonts w:ascii="Garamond" w:hAnsi="Garamond"/>
                <w:color w:val="444444"/>
                <w:sz w:val="18"/>
              </w:rPr>
              <w:t>FM segments</w:t>
            </w:r>
          </w:p>
        </w:tc>
        <w:tc>
          <w:tcPr>
            <w:tcW w:w="3249" w:type="dxa"/>
            <w:shd w:val="clear" w:color="auto" w:fill="FAF5F0"/>
          </w:tcPr>
          <w:p w14:paraId="24764FF4" w14:textId="77777777" w:rsidR="007E31C3" w:rsidRDefault="00000000">
            <w:pPr>
              <w:spacing w:before="200"/>
              <w:jc w:val="center"/>
            </w:pPr>
            <w:r>
              <w:rPr>
                <w:rFonts w:ascii="Garamond" w:hAnsi="Garamond"/>
                <w:b/>
                <w:color w:val="6B1A2A"/>
                <w:sz w:val="44"/>
              </w:rPr>
              <w:t>€55.7</w:t>
            </w:r>
          </w:p>
          <w:p w14:paraId="69E61995" w14:textId="77777777" w:rsidR="007E31C3" w:rsidRDefault="00000000">
            <w:pPr>
              <w:jc w:val="center"/>
            </w:pPr>
            <w:r>
              <w:rPr>
                <w:rFonts w:ascii="Garamond" w:hAnsi="Garamond"/>
                <w:color w:val="444444"/>
                <w:sz w:val="18"/>
              </w:rPr>
              <w:t>Average ticket</w:t>
            </w:r>
          </w:p>
        </w:tc>
      </w:tr>
    </w:tbl>
    <w:p w14:paraId="5EBCFF22" w14:textId="77777777" w:rsidR="007E31C3" w:rsidRDefault="007E31C3"/>
    <w:p w14:paraId="13949C76" w14:textId="77777777" w:rsidR="007E31C3" w:rsidRDefault="00000000">
      <w:pPr>
        <w:jc w:val="center"/>
      </w:pPr>
      <w:r>
        <w:rPr>
          <w:rFonts w:ascii="Garamond" w:hAnsi="Garamond"/>
          <w:i/>
          <w:color w:val="555555"/>
          <w:sz w:val="20"/>
        </w:rPr>
        <w:t>Business challenge: the store is perceived as a wine shop, not a delicatessen.</w:t>
      </w:r>
      <w:r>
        <w:rPr>
          <w:rFonts w:ascii="Garamond" w:hAnsi="Garamond"/>
          <w:i/>
          <w:color w:val="555555"/>
          <w:sz w:val="20"/>
        </w:rPr>
        <w:br/>
        <w:t>This report identifies customer segments and the targeted actions to grow cross-category sales.</w:t>
      </w:r>
    </w:p>
    <w:p w14:paraId="47431DEE" w14:textId="77777777" w:rsidR="007E31C3" w:rsidRDefault="00000000">
      <w:r>
        <w:br w:type="page"/>
      </w:r>
    </w:p>
    <w:p w14:paraId="74DFFCBD" w14:textId="77777777" w:rsidR="007E31C3" w:rsidRDefault="00000000">
      <w:pPr>
        <w:spacing w:before="160" w:after="80"/>
      </w:pPr>
      <w:r>
        <w:rPr>
          <w:rFonts w:ascii="Garamond" w:hAnsi="Garamond"/>
          <w:b/>
          <w:color w:val="6B1A2A"/>
          <w:sz w:val="32"/>
        </w:rPr>
        <w:lastRenderedPageBreak/>
        <w:t>Know Your Customer</w:t>
      </w:r>
    </w:p>
    <w:p w14:paraId="4FEFD13A" w14:textId="77777777" w:rsidR="007E31C3" w:rsidRDefault="007E31C3">
      <w:pPr>
        <w:pBdr>
          <w:bottom w:val="single" w:sz="6" w:space="1" w:color="6B1A2A"/>
        </w:pBdr>
        <w:spacing w:before="120" w:after="120"/>
      </w:pPr>
    </w:p>
    <w:p w14:paraId="3E3A6D92" w14:textId="77777777" w:rsidR="007E31C3" w:rsidRDefault="00000000">
      <w:pPr>
        <w:spacing w:before="40" w:after="80"/>
      </w:pPr>
      <w:r>
        <w:rPr>
          <w:rFonts w:ascii="Garamond" w:hAnsi="Garamond"/>
          <w:sz w:val="21"/>
        </w:rPr>
        <w:t>Before segmenting, it helps to understand who walks through the door. The 404 surveyed customers are predominantly aged 31-40, split roughly 50/50 by gender, and visit most commonly 1-2 times per week. Average ticket is €55.7. Olives and nuts are the most popular deli purchases, and parties are the dominant drinking occasion - pointing to a social, occasion-driven customer base.</w:t>
      </w:r>
    </w:p>
    <w:p w14:paraId="628A4929" w14:textId="77777777" w:rsidR="007E31C3" w:rsidRDefault="00000000">
      <w:pPr>
        <w:jc w:val="center"/>
      </w:pPr>
      <w:r>
        <w:rPr>
          <w:noProof/>
        </w:rPr>
        <w:drawing>
          <wp:inline distT="0" distB="0" distL="0" distR="0" wp14:anchorId="1F726139" wp14:editId="02088D78">
            <wp:extent cx="6217920" cy="337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17920" cy="3370300"/>
                    </a:xfrm>
                    <a:prstGeom prst="rect">
                      <a:avLst/>
                    </a:prstGeom>
                  </pic:spPr>
                </pic:pic>
              </a:graphicData>
            </a:graphic>
          </wp:inline>
        </w:drawing>
      </w:r>
    </w:p>
    <w:p w14:paraId="6E25A2E7" w14:textId="77777777" w:rsidR="007E31C3" w:rsidRDefault="00000000">
      <w:r>
        <w:br w:type="page"/>
      </w:r>
    </w:p>
    <w:p w14:paraId="34E75F2C" w14:textId="77777777" w:rsidR="007E31C3" w:rsidRDefault="00000000">
      <w:pPr>
        <w:spacing w:before="160" w:after="80"/>
      </w:pPr>
      <w:r>
        <w:rPr>
          <w:rFonts w:ascii="Garamond" w:hAnsi="Garamond"/>
          <w:b/>
          <w:color w:val="6B1A2A"/>
          <w:sz w:val="32"/>
        </w:rPr>
        <w:lastRenderedPageBreak/>
        <w:t>Executive Summary</w:t>
      </w:r>
    </w:p>
    <w:p w14:paraId="2B3ADA00" w14:textId="77777777" w:rsidR="007E31C3" w:rsidRDefault="007E31C3">
      <w:pPr>
        <w:pBdr>
          <w:bottom w:val="single" w:sz="6" w:space="1" w:color="6B1A2A"/>
        </w:pBdr>
        <w:spacing w:before="120" w:after="120"/>
      </w:pPr>
    </w:p>
    <w:p w14:paraId="0BCA02A0" w14:textId="77777777" w:rsidR="007E31C3" w:rsidRDefault="00000000">
      <w:pPr>
        <w:spacing w:before="40" w:after="80"/>
      </w:pPr>
      <w:r>
        <w:rPr>
          <w:rFonts w:ascii="Garamond" w:hAnsi="Garamond"/>
          <w:sz w:val="21"/>
        </w:rPr>
        <w:t>This analysis segments 404 customers using the FM (Frequency x Monetary) framework, supported by K-Prototypes spend tier clustering. Four distinct customer groups emerge, each with a clear commercial action.</w:t>
      </w:r>
    </w:p>
    <w:p w14:paraId="5FD378AF" w14:textId="77777777" w:rsidR="007E31C3" w:rsidRDefault="00000000">
      <w:pPr>
        <w:spacing w:before="120" w:after="80"/>
      </w:pPr>
      <w:r>
        <w:rPr>
          <w:rFonts w:ascii="Garamond" w:hAnsi="Garamond"/>
          <w:b/>
          <w:color w:val="6B1A2A"/>
          <w:sz w:val="26"/>
        </w:rPr>
        <w:t>Key Findings</w:t>
      </w:r>
    </w:p>
    <w:p w14:paraId="4EC9B321" w14:textId="77777777" w:rsidR="007E31C3" w:rsidRDefault="00000000">
      <w:pPr>
        <w:pStyle w:val="ListBullet"/>
        <w:spacing w:before="60" w:after="60"/>
      </w:pPr>
      <w:r>
        <w:rPr>
          <w:rFonts w:ascii="Garamond" w:hAnsi="Garamond"/>
          <w:b/>
          <w:color w:val="6B1A2A"/>
          <w:sz w:val="20"/>
        </w:rPr>
        <w:t xml:space="preserve">Champions drive the business.  </w:t>
      </w:r>
      <w:r>
        <w:rPr>
          <w:rFonts w:ascii="Garamond" w:hAnsi="Garamond"/>
          <w:sz w:val="20"/>
        </w:rPr>
        <w:t>37% of customers generate an estimated 68% of annual revenue. They visit 1-2 times per week and spend an average of €78 per visit. Retaining this group is the single highest-priority action.</w:t>
      </w:r>
    </w:p>
    <w:p w14:paraId="2AE9E5DC" w14:textId="77777777" w:rsidR="007E31C3" w:rsidRDefault="00000000">
      <w:pPr>
        <w:pStyle w:val="ListBullet"/>
        <w:spacing w:before="60" w:after="60"/>
      </w:pPr>
      <w:r>
        <w:rPr>
          <w:rFonts w:ascii="Garamond" w:hAnsi="Garamond"/>
          <w:b/>
          <w:color w:val="6B1A2A"/>
          <w:sz w:val="20"/>
        </w:rPr>
        <w:t xml:space="preserve">Loyal Regulars are the largest segment - and undermonetised.  </w:t>
      </w:r>
      <w:r>
        <w:rPr>
          <w:rFonts w:ascii="Garamond" w:hAnsi="Garamond"/>
          <w:sz w:val="20"/>
        </w:rPr>
        <w:t>40% of the base visits frequently but spends modestly (avg €33). A structured upsell programme targeting premium deli products could materially shift average ticket.</w:t>
      </w:r>
    </w:p>
    <w:p w14:paraId="6A23FFD6" w14:textId="77777777" w:rsidR="007E31C3" w:rsidRDefault="00000000">
      <w:pPr>
        <w:pStyle w:val="ListBullet"/>
        <w:spacing w:before="60" w:after="60"/>
      </w:pPr>
      <w:r>
        <w:rPr>
          <w:rFonts w:ascii="Garamond" w:hAnsi="Garamond"/>
          <w:b/>
          <w:color w:val="6B1A2A"/>
          <w:sz w:val="20"/>
        </w:rPr>
        <w:t xml:space="preserve">Spend level is the primary differentiator.  </w:t>
      </w:r>
      <w:r>
        <w:rPr>
          <w:rFonts w:ascii="Garamond" w:hAnsi="Garamond"/>
          <w:sz w:val="20"/>
        </w:rPr>
        <w:t>K-Prototypes clustering identifies three clean spend tiers: Premium Buyers (avg €86), Core Buyers (avg €55), and Entry Buyers (avg €24). The FM segments map closely onto these tiers, confirming spend as the key dimension to act on.</w:t>
      </w:r>
    </w:p>
    <w:p w14:paraId="021AA98F" w14:textId="77777777" w:rsidR="007E31C3" w:rsidRDefault="00000000">
      <w:pPr>
        <w:pStyle w:val="ListBullet"/>
        <w:spacing w:before="60" w:after="60"/>
      </w:pPr>
      <w:r>
        <w:rPr>
          <w:rFonts w:ascii="Garamond" w:hAnsi="Garamond"/>
          <w:b/>
          <w:color w:val="6B1A2A"/>
          <w:sz w:val="20"/>
        </w:rPr>
        <w:t xml:space="preserve">The delicatessen is underpenetrated.  </w:t>
      </w:r>
      <w:r>
        <w:rPr>
          <w:rFonts w:ascii="Garamond" w:hAnsi="Garamond"/>
          <w:sz w:val="20"/>
        </w:rPr>
        <w:t>Entry-tier deli products (candies, cookies, nuts) dominate across all segments. No segment shows a majority choosing premium deli (cheese, ham, salmon). This is the principal cross-sell opportunity.</w:t>
      </w:r>
    </w:p>
    <w:p w14:paraId="53E78D3E" w14:textId="77777777" w:rsidR="007E31C3" w:rsidRDefault="00000000">
      <w:pPr>
        <w:spacing w:before="200" w:after="80"/>
      </w:pPr>
      <w:r>
        <w:rPr>
          <w:rFonts w:ascii="Garamond" w:hAnsi="Garamond"/>
          <w:b/>
          <w:color w:val="6B1A2A"/>
          <w:sz w:val="26"/>
        </w:rPr>
        <w:t>Priority Actions at a Glance</w:t>
      </w:r>
    </w:p>
    <w:tbl>
      <w:tblPr>
        <w:tblStyle w:val="TableGrid"/>
        <w:tblW w:w="0" w:type="auto"/>
        <w:tblLook w:val="04A0" w:firstRow="1" w:lastRow="0" w:firstColumn="1" w:lastColumn="0" w:noHBand="0" w:noVBand="1"/>
      </w:tblPr>
      <w:tblGrid>
        <w:gridCol w:w="3249"/>
        <w:gridCol w:w="3249"/>
        <w:gridCol w:w="3249"/>
      </w:tblGrid>
      <w:tr w:rsidR="007E31C3" w14:paraId="1D2F5392" w14:textId="77777777">
        <w:tc>
          <w:tcPr>
            <w:tcW w:w="3249" w:type="dxa"/>
            <w:shd w:val="clear" w:color="auto" w:fill="6B1A2A"/>
          </w:tcPr>
          <w:p w14:paraId="75226980" w14:textId="77777777" w:rsidR="007E31C3" w:rsidRDefault="00000000">
            <w:pPr>
              <w:jc w:val="center"/>
            </w:pPr>
            <w:r>
              <w:rPr>
                <w:rFonts w:ascii="Garamond" w:hAnsi="Garamond"/>
                <w:b/>
                <w:color w:val="FFFFFF"/>
                <w:sz w:val="20"/>
              </w:rPr>
              <w:t>Segment</w:t>
            </w:r>
          </w:p>
        </w:tc>
        <w:tc>
          <w:tcPr>
            <w:tcW w:w="3249" w:type="dxa"/>
            <w:shd w:val="clear" w:color="auto" w:fill="6B1A2A"/>
          </w:tcPr>
          <w:p w14:paraId="44364C82" w14:textId="77777777" w:rsidR="007E31C3" w:rsidRDefault="00000000">
            <w:pPr>
              <w:jc w:val="center"/>
            </w:pPr>
            <w:r>
              <w:rPr>
                <w:rFonts w:ascii="Garamond" w:hAnsi="Garamond"/>
                <w:b/>
                <w:color w:val="FFFFFF"/>
                <w:sz w:val="20"/>
              </w:rPr>
              <w:t>Priority</w:t>
            </w:r>
          </w:p>
        </w:tc>
        <w:tc>
          <w:tcPr>
            <w:tcW w:w="3249" w:type="dxa"/>
            <w:shd w:val="clear" w:color="auto" w:fill="6B1A2A"/>
          </w:tcPr>
          <w:p w14:paraId="7221FE8D" w14:textId="77777777" w:rsidR="007E31C3" w:rsidRDefault="00000000">
            <w:pPr>
              <w:jc w:val="center"/>
            </w:pPr>
            <w:r>
              <w:rPr>
                <w:rFonts w:ascii="Garamond" w:hAnsi="Garamond"/>
                <w:b/>
                <w:color w:val="FFFFFF"/>
                <w:sz w:val="20"/>
              </w:rPr>
              <w:t>Action</w:t>
            </w:r>
          </w:p>
        </w:tc>
      </w:tr>
      <w:tr w:rsidR="007E31C3" w14:paraId="0645A8E8" w14:textId="77777777">
        <w:tc>
          <w:tcPr>
            <w:tcW w:w="3249" w:type="dxa"/>
            <w:shd w:val="clear" w:color="auto" w:fill="FAF5F0"/>
          </w:tcPr>
          <w:p w14:paraId="3BA5D48B" w14:textId="77777777" w:rsidR="007E31C3" w:rsidRDefault="00000000">
            <w:r>
              <w:rPr>
                <w:rFonts w:ascii="Garamond" w:hAnsi="Garamond"/>
                <w:b/>
                <w:color w:val="6B1A2A"/>
                <w:sz w:val="20"/>
              </w:rPr>
              <w:t>Champions</w:t>
            </w:r>
          </w:p>
        </w:tc>
        <w:tc>
          <w:tcPr>
            <w:tcW w:w="3249" w:type="dxa"/>
          </w:tcPr>
          <w:p w14:paraId="63D79D6E" w14:textId="77777777" w:rsidR="007E31C3" w:rsidRDefault="00000000">
            <w:r>
              <w:rPr>
                <w:rFonts w:ascii="Garamond" w:hAnsi="Garamond"/>
                <w:sz w:val="20"/>
              </w:rPr>
              <w:t>High</w:t>
            </w:r>
          </w:p>
        </w:tc>
        <w:tc>
          <w:tcPr>
            <w:tcW w:w="3249" w:type="dxa"/>
          </w:tcPr>
          <w:p w14:paraId="61BF62FF" w14:textId="77777777" w:rsidR="007E31C3" w:rsidRDefault="00000000">
            <w:r>
              <w:rPr>
                <w:rFonts w:ascii="Garamond" w:hAnsi="Garamond"/>
                <w:sz w:val="20"/>
              </w:rPr>
              <w:t>Loyalty card, VIP tastings, exclusive previews</w:t>
            </w:r>
          </w:p>
        </w:tc>
      </w:tr>
      <w:tr w:rsidR="007E31C3" w14:paraId="37D9E78D" w14:textId="77777777">
        <w:tc>
          <w:tcPr>
            <w:tcW w:w="3249" w:type="dxa"/>
            <w:shd w:val="clear" w:color="auto" w:fill="FAF5F0"/>
          </w:tcPr>
          <w:p w14:paraId="396D7EB5" w14:textId="77777777" w:rsidR="007E31C3" w:rsidRDefault="00000000">
            <w:r>
              <w:rPr>
                <w:rFonts w:ascii="Garamond" w:hAnsi="Garamond"/>
                <w:b/>
                <w:color w:val="6B1A2A"/>
                <w:sz w:val="20"/>
              </w:rPr>
              <w:t>Loyal Regulars</w:t>
            </w:r>
          </w:p>
        </w:tc>
        <w:tc>
          <w:tcPr>
            <w:tcW w:w="3249" w:type="dxa"/>
          </w:tcPr>
          <w:p w14:paraId="38A2C8F6" w14:textId="77777777" w:rsidR="007E31C3" w:rsidRDefault="00000000">
            <w:r>
              <w:rPr>
                <w:rFonts w:ascii="Garamond" w:hAnsi="Garamond"/>
                <w:sz w:val="20"/>
              </w:rPr>
              <w:t>High</w:t>
            </w:r>
          </w:p>
        </w:tc>
        <w:tc>
          <w:tcPr>
            <w:tcW w:w="3249" w:type="dxa"/>
          </w:tcPr>
          <w:p w14:paraId="58044BB9" w14:textId="77777777" w:rsidR="007E31C3" w:rsidRDefault="00000000">
            <w:r>
              <w:rPr>
                <w:rFonts w:ascii="Garamond" w:hAnsi="Garamond"/>
                <w:sz w:val="20"/>
              </w:rPr>
              <w:t>Deli upsell at checkout, wine upgrade nudges</w:t>
            </w:r>
          </w:p>
        </w:tc>
      </w:tr>
      <w:tr w:rsidR="007E31C3" w14:paraId="327D1166" w14:textId="77777777">
        <w:tc>
          <w:tcPr>
            <w:tcW w:w="3249" w:type="dxa"/>
            <w:shd w:val="clear" w:color="auto" w:fill="FAF5F0"/>
          </w:tcPr>
          <w:p w14:paraId="3D94E2EA" w14:textId="77777777" w:rsidR="007E31C3" w:rsidRDefault="00000000">
            <w:r>
              <w:rPr>
                <w:rFonts w:ascii="Garamond" w:hAnsi="Garamond"/>
                <w:b/>
                <w:color w:val="6B1A2A"/>
                <w:sz w:val="20"/>
              </w:rPr>
              <w:t>Occasion Splurgers</w:t>
            </w:r>
          </w:p>
        </w:tc>
        <w:tc>
          <w:tcPr>
            <w:tcW w:w="3249" w:type="dxa"/>
          </w:tcPr>
          <w:p w14:paraId="13D20AEB" w14:textId="77777777" w:rsidR="007E31C3" w:rsidRDefault="00000000">
            <w:r>
              <w:rPr>
                <w:rFonts w:ascii="Garamond" w:hAnsi="Garamond"/>
                <w:sz w:val="20"/>
              </w:rPr>
              <w:t>Medium</w:t>
            </w:r>
          </w:p>
        </w:tc>
        <w:tc>
          <w:tcPr>
            <w:tcW w:w="3249" w:type="dxa"/>
          </w:tcPr>
          <w:p w14:paraId="7BF9A006" w14:textId="77777777" w:rsidR="007E31C3" w:rsidRDefault="00000000">
            <w:r>
              <w:rPr>
                <w:rFonts w:ascii="Garamond" w:hAnsi="Garamond"/>
                <w:sz w:val="20"/>
              </w:rPr>
              <w:t>Seasonal hampers, event gift sets</w:t>
            </w:r>
          </w:p>
        </w:tc>
      </w:tr>
      <w:tr w:rsidR="007E31C3" w14:paraId="2193B4F4" w14:textId="77777777">
        <w:tc>
          <w:tcPr>
            <w:tcW w:w="3249" w:type="dxa"/>
            <w:shd w:val="clear" w:color="auto" w:fill="FAF5F0"/>
          </w:tcPr>
          <w:p w14:paraId="03113C44" w14:textId="77777777" w:rsidR="007E31C3" w:rsidRDefault="00000000">
            <w:r>
              <w:rPr>
                <w:rFonts w:ascii="Garamond" w:hAnsi="Garamond"/>
                <w:b/>
                <w:color w:val="6B1A2A"/>
                <w:sz w:val="20"/>
              </w:rPr>
              <w:t>Casual Visitors</w:t>
            </w:r>
          </w:p>
        </w:tc>
        <w:tc>
          <w:tcPr>
            <w:tcW w:w="3249" w:type="dxa"/>
          </w:tcPr>
          <w:p w14:paraId="4741B7BF" w14:textId="77777777" w:rsidR="007E31C3" w:rsidRDefault="00000000">
            <w:r>
              <w:rPr>
                <w:rFonts w:ascii="Garamond" w:hAnsi="Garamond"/>
                <w:sz w:val="20"/>
              </w:rPr>
              <w:t>Low</w:t>
            </w:r>
          </w:p>
        </w:tc>
        <w:tc>
          <w:tcPr>
            <w:tcW w:w="3249" w:type="dxa"/>
          </w:tcPr>
          <w:p w14:paraId="3F32F953" w14:textId="77777777" w:rsidR="007E31C3" w:rsidRDefault="00000000">
            <w:r>
              <w:rPr>
                <w:rFonts w:ascii="Garamond" w:hAnsi="Garamond"/>
                <w:sz w:val="20"/>
              </w:rPr>
              <w:t>Social media activation, entry-level offers</w:t>
            </w:r>
          </w:p>
        </w:tc>
      </w:tr>
    </w:tbl>
    <w:p w14:paraId="3A91B947" w14:textId="77777777" w:rsidR="007E31C3" w:rsidRDefault="00000000">
      <w:r>
        <w:br w:type="page"/>
      </w:r>
    </w:p>
    <w:p w14:paraId="037D9AF5" w14:textId="77777777" w:rsidR="007E31C3" w:rsidRDefault="00000000">
      <w:pPr>
        <w:spacing w:before="160" w:after="80"/>
      </w:pPr>
      <w:r>
        <w:rPr>
          <w:rFonts w:ascii="Garamond" w:hAnsi="Garamond"/>
          <w:b/>
          <w:color w:val="6B1A2A"/>
          <w:sz w:val="32"/>
        </w:rPr>
        <w:lastRenderedPageBreak/>
        <w:t>FM Segmentation: Frequency x Monetary</w:t>
      </w:r>
    </w:p>
    <w:p w14:paraId="04AE6B65" w14:textId="77777777" w:rsidR="007E31C3" w:rsidRDefault="007E31C3">
      <w:pPr>
        <w:pBdr>
          <w:bottom w:val="single" w:sz="6" w:space="1" w:color="6B1A2A"/>
        </w:pBdr>
        <w:spacing w:before="120" w:after="120"/>
      </w:pPr>
    </w:p>
    <w:p w14:paraId="325AB29F" w14:textId="77777777" w:rsidR="007E31C3" w:rsidRDefault="00000000">
      <w:pPr>
        <w:spacing w:before="40" w:after="80"/>
      </w:pPr>
      <w:r>
        <w:rPr>
          <w:rFonts w:ascii="Garamond" w:hAnsi="Garamond"/>
          <w:sz w:val="21"/>
        </w:rPr>
        <w:t>In the absence of recency data, the FM framework uses two dimensions to classify customers: how often they visit (Frequency) and how much they spend per visit (Monetary). A median split on each dimension produces four segments. This is the primary actionable framework for targeted marketing.</w:t>
      </w:r>
    </w:p>
    <w:p w14:paraId="5C8348B0" w14:textId="77777777" w:rsidR="007E31C3" w:rsidRDefault="00000000">
      <w:pPr>
        <w:jc w:val="center"/>
      </w:pPr>
      <w:r>
        <w:rPr>
          <w:noProof/>
        </w:rPr>
        <w:drawing>
          <wp:inline distT="0" distB="0" distL="0" distR="0" wp14:anchorId="1D27EC31" wp14:editId="1F9CE51A">
            <wp:extent cx="5943600" cy="22875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2287542"/>
                    </a:xfrm>
                    <a:prstGeom prst="rect">
                      <a:avLst/>
                    </a:prstGeom>
                  </pic:spPr>
                </pic:pic>
              </a:graphicData>
            </a:graphic>
          </wp:inline>
        </w:drawing>
      </w:r>
    </w:p>
    <w:p w14:paraId="33887A5B" w14:textId="77777777" w:rsidR="007E31C3" w:rsidRDefault="00000000">
      <w:pPr>
        <w:spacing w:before="160" w:after="80"/>
      </w:pPr>
      <w:r>
        <w:rPr>
          <w:rFonts w:ascii="Garamond" w:hAnsi="Garamond"/>
          <w:b/>
          <w:color w:val="6B1A2A"/>
          <w:sz w:val="26"/>
        </w:rPr>
        <w:t>Segment Profiles</w:t>
      </w:r>
    </w:p>
    <w:tbl>
      <w:tblPr>
        <w:tblStyle w:val="TableGrid"/>
        <w:tblW w:w="0" w:type="auto"/>
        <w:tblLook w:val="04A0" w:firstRow="1" w:lastRow="0" w:firstColumn="1" w:lastColumn="0" w:noHBand="0" w:noVBand="1"/>
      </w:tblPr>
      <w:tblGrid>
        <w:gridCol w:w="1949"/>
        <w:gridCol w:w="1949"/>
        <w:gridCol w:w="1949"/>
        <w:gridCol w:w="1949"/>
        <w:gridCol w:w="1949"/>
      </w:tblGrid>
      <w:tr w:rsidR="007E31C3" w14:paraId="168F7758" w14:textId="77777777">
        <w:tc>
          <w:tcPr>
            <w:tcW w:w="1949" w:type="dxa"/>
            <w:shd w:val="clear" w:color="auto" w:fill="6B1A2A"/>
          </w:tcPr>
          <w:p w14:paraId="15CAB68C" w14:textId="77777777" w:rsidR="007E31C3" w:rsidRDefault="00000000">
            <w:pPr>
              <w:jc w:val="center"/>
            </w:pPr>
            <w:r>
              <w:rPr>
                <w:rFonts w:ascii="Garamond" w:hAnsi="Garamond"/>
                <w:b/>
                <w:color w:val="FFFFFF"/>
                <w:sz w:val="19"/>
              </w:rPr>
              <w:t>Segment</w:t>
            </w:r>
          </w:p>
        </w:tc>
        <w:tc>
          <w:tcPr>
            <w:tcW w:w="1949" w:type="dxa"/>
            <w:shd w:val="clear" w:color="auto" w:fill="6B1A2A"/>
          </w:tcPr>
          <w:p w14:paraId="1CC9E943" w14:textId="77777777" w:rsidR="007E31C3" w:rsidRDefault="00000000">
            <w:pPr>
              <w:jc w:val="center"/>
            </w:pPr>
            <w:r>
              <w:rPr>
                <w:rFonts w:ascii="Garamond" w:hAnsi="Garamond"/>
                <w:b/>
                <w:color w:val="FFFFFF"/>
                <w:sz w:val="19"/>
              </w:rPr>
              <w:t>Customers</w:t>
            </w:r>
          </w:p>
        </w:tc>
        <w:tc>
          <w:tcPr>
            <w:tcW w:w="1949" w:type="dxa"/>
            <w:shd w:val="clear" w:color="auto" w:fill="6B1A2A"/>
          </w:tcPr>
          <w:p w14:paraId="09065EFF" w14:textId="77777777" w:rsidR="007E31C3" w:rsidRDefault="00000000">
            <w:pPr>
              <w:jc w:val="center"/>
            </w:pPr>
            <w:r>
              <w:rPr>
                <w:rFonts w:ascii="Garamond" w:hAnsi="Garamond"/>
                <w:b/>
                <w:color w:val="FFFFFF"/>
                <w:sz w:val="19"/>
              </w:rPr>
              <w:t>Avg Ticket</w:t>
            </w:r>
          </w:p>
        </w:tc>
        <w:tc>
          <w:tcPr>
            <w:tcW w:w="1949" w:type="dxa"/>
            <w:shd w:val="clear" w:color="auto" w:fill="6B1A2A"/>
          </w:tcPr>
          <w:p w14:paraId="54772431" w14:textId="77777777" w:rsidR="007E31C3" w:rsidRDefault="00000000">
            <w:pPr>
              <w:jc w:val="center"/>
            </w:pPr>
            <w:r>
              <w:rPr>
                <w:rFonts w:ascii="Garamond" w:hAnsi="Garamond"/>
                <w:b/>
                <w:color w:val="FFFFFF"/>
                <w:sz w:val="19"/>
              </w:rPr>
              <w:t>Rev Share</w:t>
            </w:r>
          </w:p>
        </w:tc>
        <w:tc>
          <w:tcPr>
            <w:tcW w:w="1949" w:type="dxa"/>
            <w:shd w:val="clear" w:color="auto" w:fill="6B1A2A"/>
          </w:tcPr>
          <w:p w14:paraId="79B4578B" w14:textId="77777777" w:rsidR="007E31C3" w:rsidRDefault="00000000">
            <w:pPr>
              <w:jc w:val="center"/>
            </w:pPr>
            <w:r>
              <w:rPr>
                <w:rFonts w:ascii="Garamond" w:hAnsi="Garamond"/>
                <w:b/>
                <w:color w:val="FFFFFF"/>
                <w:sz w:val="19"/>
              </w:rPr>
              <w:t>Top Deli</w:t>
            </w:r>
          </w:p>
        </w:tc>
      </w:tr>
      <w:tr w:rsidR="007E31C3" w14:paraId="69403363" w14:textId="77777777">
        <w:tc>
          <w:tcPr>
            <w:tcW w:w="1949" w:type="dxa"/>
            <w:shd w:val="clear" w:color="auto" w:fill="FAF5F0"/>
          </w:tcPr>
          <w:p w14:paraId="18E22A96" w14:textId="77777777" w:rsidR="007E31C3" w:rsidRDefault="00000000">
            <w:r>
              <w:rPr>
                <w:rFonts w:ascii="Garamond" w:hAnsi="Garamond"/>
                <w:b/>
                <w:color w:val="6B1A2A"/>
                <w:sz w:val="19"/>
              </w:rPr>
              <w:t>Champions</w:t>
            </w:r>
          </w:p>
        </w:tc>
        <w:tc>
          <w:tcPr>
            <w:tcW w:w="1949" w:type="dxa"/>
          </w:tcPr>
          <w:p w14:paraId="37887823" w14:textId="77777777" w:rsidR="007E31C3" w:rsidRDefault="00000000">
            <w:r>
              <w:rPr>
                <w:rFonts w:ascii="Garamond" w:hAnsi="Garamond"/>
                <w:sz w:val="19"/>
              </w:rPr>
              <w:t>150 (37%)</w:t>
            </w:r>
          </w:p>
        </w:tc>
        <w:tc>
          <w:tcPr>
            <w:tcW w:w="1949" w:type="dxa"/>
          </w:tcPr>
          <w:p w14:paraId="0975A0AC" w14:textId="77777777" w:rsidR="007E31C3" w:rsidRDefault="00000000">
            <w:r>
              <w:rPr>
                <w:rFonts w:ascii="Garamond" w:hAnsi="Garamond"/>
                <w:sz w:val="19"/>
              </w:rPr>
              <w:t>€78</w:t>
            </w:r>
          </w:p>
        </w:tc>
        <w:tc>
          <w:tcPr>
            <w:tcW w:w="1949" w:type="dxa"/>
          </w:tcPr>
          <w:p w14:paraId="00A1A4AE" w14:textId="77777777" w:rsidR="007E31C3" w:rsidRDefault="00000000">
            <w:r>
              <w:rPr>
                <w:rFonts w:ascii="Garamond" w:hAnsi="Garamond"/>
                <w:sz w:val="19"/>
              </w:rPr>
              <w:t>68%</w:t>
            </w:r>
          </w:p>
        </w:tc>
        <w:tc>
          <w:tcPr>
            <w:tcW w:w="1949" w:type="dxa"/>
          </w:tcPr>
          <w:p w14:paraId="5437518B" w14:textId="77777777" w:rsidR="007E31C3" w:rsidRDefault="00000000">
            <w:r>
              <w:rPr>
                <w:rFonts w:ascii="Garamond" w:hAnsi="Garamond"/>
                <w:sz w:val="19"/>
              </w:rPr>
              <w:t>Olives</w:t>
            </w:r>
          </w:p>
        </w:tc>
      </w:tr>
      <w:tr w:rsidR="007E31C3" w14:paraId="5F1C81E9" w14:textId="77777777">
        <w:tc>
          <w:tcPr>
            <w:tcW w:w="1949" w:type="dxa"/>
            <w:shd w:val="clear" w:color="auto" w:fill="FAF5F0"/>
          </w:tcPr>
          <w:p w14:paraId="5F0045DD" w14:textId="77777777" w:rsidR="007E31C3" w:rsidRDefault="00000000">
            <w:r>
              <w:rPr>
                <w:rFonts w:ascii="Garamond" w:hAnsi="Garamond"/>
                <w:b/>
                <w:color w:val="6B1A2A"/>
                <w:sz w:val="19"/>
              </w:rPr>
              <w:t>Loyal Regulars</w:t>
            </w:r>
          </w:p>
        </w:tc>
        <w:tc>
          <w:tcPr>
            <w:tcW w:w="1949" w:type="dxa"/>
          </w:tcPr>
          <w:p w14:paraId="28851484" w14:textId="77777777" w:rsidR="007E31C3" w:rsidRDefault="00000000">
            <w:r>
              <w:rPr>
                <w:rFonts w:ascii="Garamond" w:hAnsi="Garamond"/>
                <w:sz w:val="19"/>
              </w:rPr>
              <w:t>161 (40%)</w:t>
            </w:r>
          </w:p>
        </w:tc>
        <w:tc>
          <w:tcPr>
            <w:tcW w:w="1949" w:type="dxa"/>
          </w:tcPr>
          <w:p w14:paraId="1470CEA4" w14:textId="77777777" w:rsidR="007E31C3" w:rsidRDefault="00000000">
            <w:r>
              <w:rPr>
                <w:rFonts w:ascii="Garamond" w:hAnsi="Garamond"/>
                <w:sz w:val="19"/>
              </w:rPr>
              <w:t>€33</w:t>
            </w:r>
          </w:p>
        </w:tc>
        <w:tc>
          <w:tcPr>
            <w:tcW w:w="1949" w:type="dxa"/>
          </w:tcPr>
          <w:p w14:paraId="46B43661" w14:textId="77777777" w:rsidR="007E31C3" w:rsidRDefault="00000000">
            <w:r>
              <w:rPr>
                <w:rFonts w:ascii="Garamond" w:hAnsi="Garamond"/>
                <w:sz w:val="19"/>
              </w:rPr>
              <w:t>30%</w:t>
            </w:r>
          </w:p>
        </w:tc>
        <w:tc>
          <w:tcPr>
            <w:tcW w:w="1949" w:type="dxa"/>
          </w:tcPr>
          <w:p w14:paraId="0A97080D" w14:textId="77777777" w:rsidR="007E31C3" w:rsidRDefault="00000000">
            <w:r>
              <w:rPr>
                <w:rFonts w:ascii="Garamond" w:hAnsi="Garamond"/>
                <w:sz w:val="19"/>
              </w:rPr>
              <w:t>Olives</w:t>
            </w:r>
          </w:p>
        </w:tc>
      </w:tr>
      <w:tr w:rsidR="007E31C3" w14:paraId="545D21C4" w14:textId="77777777">
        <w:tc>
          <w:tcPr>
            <w:tcW w:w="1949" w:type="dxa"/>
            <w:shd w:val="clear" w:color="auto" w:fill="FAF5F0"/>
          </w:tcPr>
          <w:p w14:paraId="63B0A168" w14:textId="77777777" w:rsidR="007E31C3" w:rsidRDefault="00000000">
            <w:r>
              <w:rPr>
                <w:rFonts w:ascii="Garamond" w:hAnsi="Garamond"/>
                <w:b/>
                <w:color w:val="6B1A2A"/>
                <w:sz w:val="19"/>
              </w:rPr>
              <w:t>Occasion Splurgers</w:t>
            </w:r>
          </w:p>
        </w:tc>
        <w:tc>
          <w:tcPr>
            <w:tcW w:w="1949" w:type="dxa"/>
          </w:tcPr>
          <w:p w14:paraId="0A2D03DA" w14:textId="77777777" w:rsidR="007E31C3" w:rsidRDefault="00000000">
            <w:r>
              <w:rPr>
                <w:rFonts w:ascii="Garamond" w:hAnsi="Garamond"/>
                <w:sz w:val="19"/>
              </w:rPr>
              <w:t>52 (13%)</w:t>
            </w:r>
          </w:p>
        </w:tc>
        <w:tc>
          <w:tcPr>
            <w:tcW w:w="1949" w:type="dxa"/>
          </w:tcPr>
          <w:p w14:paraId="7BF97957" w14:textId="77777777" w:rsidR="007E31C3" w:rsidRDefault="00000000">
            <w:r>
              <w:rPr>
                <w:rFonts w:ascii="Garamond" w:hAnsi="Garamond"/>
                <w:sz w:val="19"/>
              </w:rPr>
              <w:t>€81</w:t>
            </w:r>
          </w:p>
        </w:tc>
        <w:tc>
          <w:tcPr>
            <w:tcW w:w="1949" w:type="dxa"/>
          </w:tcPr>
          <w:p w14:paraId="2CB0F2D2" w14:textId="77777777" w:rsidR="007E31C3" w:rsidRDefault="00000000">
            <w:r>
              <w:rPr>
                <w:rFonts w:ascii="Garamond" w:hAnsi="Garamond"/>
                <w:sz w:val="19"/>
              </w:rPr>
              <w:t>2%</w:t>
            </w:r>
          </w:p>
        </w:tc>
        <w:tc>
          <w:tcPr>
            <w:tcW w:w="1949" w:type="dxa"/>
          </w:tcPr>
          <w:p w14:paraId="1B6031A4" w14:textId="77777777" w:rsidR="007E31C3" w:rsidRDefault="00000000">
            <w:r>
              <w:rPr>
                <w:rFonts w:ascii="Garamond" w:hAnsi="Garamond"/>
                <w:sz w:val="19"/>
              </w:rPr>
              <w:t>Spanish ham</w:t>
            </w:r>
          </w:p>
        </w:tc>
      </w:tr>
      <w:tr w:rsidR="007E31C3" w14:paraId="1850B9E2" w14:textId="77777777">
        <w:tc>
          <w:tcPr>
            <w:tcW w:w="1949" w:type="dxa"/>
            <w:shd w:val="clear" w:color="auto" w:fill="FAF5F0"/>
          </w:tcPr>
          <w:p w14:paraId="13E53718" w14:textId="77777777" w:rsidR="007E31C3" w:rsidRDefault="00000000">
            <w:r>
              <w:rPr>
                <w:rFonts w:ascii="Garamond" w:hAnsi="Garamond"/>
                <w:b/>
                <w:color w:val="6B1A2A"/>
                <w:sz w:val="19"/>
              </w:rPr>
              <w:t>Casual Visitors</w:t>
            </w:r>
          </w:p>
        </w:tc>
        <w:tc>
          <w:tcPr>
            <w:tcW w:w="1949" w:type="dxa"/>
          </w:tcPr>
          <w:p w14:paraId="5B7F53DB" w14:textId="77777777" w:rsidR="007E31C3" w:rsidRDefault="00000000">
            <w:r>
              <w:rPr>
                <w:rFonts w:ascii="Garamond" w:hAnsi="Garamond"/>
                <w:sz w:val="19"/>
              </w:rPr>
              <w:t>41 (10%)</w:t>
            </w:r>
          </w:p>
        </w:tc>
        <w:tc>
          <w:tcPr>
            <w:tcW w:w="1949" w:type="dxa"/>
          </w:tcPr>
          <w:p w14:paraId="3EC0E4FB" w14:textId="77777777" w:rsidR="007E31C3" w:rsidRDefault="00000000">
            <w:r>
              <w:rPr>
                <w:rFonts w:ascii="Garamond" w:hAnsi="Garamond"/>
                <w:sz w:val="19"/>
              </w:rPr>
              <w:t>€31</w:t>
            </w:r>
          </w:p>
        </w:tc>
        <w:tc>
          <w:tcPr>
            <w:tcW w:w="1949" w:type="dxa"/>
          </w:tcPr>
          <w:p w14:paraId="091D44A8" w14:textId="77777777" w:rsidR="007E31C3" w:rsidRDefault="00000000">
            <w:r>
              <w:rPr>
                <w:rFonts w:ascii="Garamond" w:hAnsi="Garamond"/>
                <w:sz w:val="19"/>
              </w:rPr>
              <w:t>1%</w:t>
            </w:r>
          </w:p>
        </w:tc>
        <w:tc>
          <w:tcPr>
            <w:tcW w:w="1949" w:type="dxa"/>
          </w:tcPr>
          <w:p w14:paraId="42DFA1D8" w14:textId="77777777" w:rsidR="007E31C3" w:rsidRDefault="00000000">
            <w:r>
              <w:rPr>
                <w:rFonts w:ascii="Garamond" w:hAnsi="Garamond"/>
                <w:sz w:val="19"/>
              </w:rPr>
              <w:t>Spanish ham</w:t>
            </w:r>
          </w:p>
        </w:tc>
      </w:tr>
    </w:tbl>
    <w:p w14:paraId="6BF7C17B" w14:textId="77777777" w:rsidR="007E31C3" w:rsidRDefault="00000000">
      <w:r>
        <w:br w:type="page"/>
      </w:r>
    </w:p>
    <w:p w14:paraId="1AC6763C" w14:textId="77777777" w:rsidR="007E31C3" w:rsidRDefault="00000000">
      <w:pPr>
        <w:spacing w:before="160" w:after="80"/>
      </w:pPr>
      <w:r>
        <w:rPr>
          <w:rFonts w:ascii="Garamond" w:hAnsi="Garamond"/>
          <w:b/>
          <w:color w:val="6B1A2A"/>
          <w:sz w:val="32"/>
        </w:rPr>
        <w:lastRenderedPageBreak/>
        <w:t>Spend Tier Analysis: K-Prototypes Clustering</w:t>
      </w:r>
    </w:p>
    <w:p w14:paraId="4AB29A83" w14:textId="77777777" w:rsidR="007E31C3" w:rsidRDefault="007E31C3">
      <w:pPr>
        <w:pBdr>
          <w:bottom w:val="single" w:sz="6" w:space="1" w:color="6B1A2A"/>
        </w:pBdr>
        <w:spacing w:before="120" w:after="120"/>
      </w:pPr>
    </w:p>
    <w:p w14:paraId="40DE6EB4" w14:textId="77777777" w:rsidR="007E31C3" w:rsidRDefault="00000000">
      <w:pPr>
        <w:spacing w:before="40" w:after="80"/>
      </w:pPr>
      <w:r>
        <w:rPr>
          <w:rFonts w:ascii="Garamond" w:hAnsi="Garamond"/>
          <w:sz w:val="21"/>
        </w:rPr>
        <w:t>K-Prototypes clustering (K=3) identifies three distinct spending bands. Unlike K-Means, this algorithm correctly handles categorical data (occasion, product choice, payment mode) using Hamming distance, and applies Euclidean distance only to the ticket value. The three tiers align closely with the FM segmentation, reinforcing spend as the key dimension.</w:t>
      </w:r>
    </w:p>
    <w:tbl>
      <w:tblPr>
        <w:tblStyle w:val="TableGrid"/>
        <w:tblW w:w="0" w:type="auto"/>
        <w:tblLook w:val="04A0" w:firstRow="1" w:lastRow="0" w:firstColumn="1" w:lastColumn="0" w:noHBand="0" w:noVBand="1"/>
      </w:tblPr>
      <w:tblGrid>
        <w:gridCol w:w="2436"/>
        <w:gridCol w:w="2436"/>
        <w:gridCol w:w="2436"/>
        <w:gridCol w:w="2436"/>
      </w:tblGrid>
      <w:tr w:rsidR="007E31C3" w14:paraId="61327D40" w14:textId="77777777">
        <w:tc>
          <w:tcPr>
            <w:tcW w:w="2436" w:type="dxa"/>
            <w:shd w:val="clear" w:color="auto" w:fill="9B3545"/>
          </w:tcPr>
          <w:p w14:paraId="3049C46F" w14:textId="77777777" w:rsidR="007E31C3" w:rsidRDefault="00000000">
            <w:pPr>
              <w:jc w:val="center"/>
            </w:pPr>
            <w:r>
              <w:rPr>
                <w:rFonts w:ascii="Garamond" w:hAnsi="Garamond"/>
                <w:b/>
                <w:color w:val="FFFFFF"/>
                <w:sz w:val="19"/>
              </w:rPr>
              <w:t>Spend Tier</w:t>
            </w:r>
          </w:p>
        </w:tc>
        <w:tc>
          <w:tcPr>
            <w:tcW w:w="2436" w:type="dxa"/>
            <w:shd w:val="clear" w:color="auto" w:fill="9B3545"/>
          </w:tcPr>
          <w:p w14:paraId="1901B663" w14:textId="77777777" w:rsidR="007E31C3" w:rsidRDefault="00000000">
            <w:pPr>
              <w:jc w:val="center"/>
            </w:pPr>
            <w:r>
              <w:rPr>
                <w:rFonts w:ascii="Garamond" w:hAnsi="Garamond"/>
                <w:b/>
                <w:color w:val="FFFFFF"/>
                <w:sz w:val="19"/>
              </w:rPr>
              <w:t>Customers</w:t>
            </w:r>
          </w:p>
        </w:tc>
        <w:tc>
          <w:tcPr>
            <w:tcW w:w="2436" w:type="dxa"/>
            <w:shd w:val="clear" w:color="auto" w:fill="9B3545"/>
          </w:tcPr>
          <w:p w14:paraId="71BEA231" w14:textId="77777777" w:rsidR="007E31C3" w:rsidRDefault="00000000">
            <w:pPr>
              <w:jc w:val="center"/>
            </w:pPr>
            <w:r>
              <w:rPr>
                <w:rFonts w:ascii="Garamond" w:hAnsi="Garamond"/>
                <w:b/>
                <w:color w:val="FFFFFF"/>
                <w:sz w:val="19"/>
              </w:rPr>
              <w:t>Ticket Range</w:t>
            </w:r>
          </w:p>
        </w:tc>
        <w:tc>
          <w:tcPr>
            <w:tcW w:w="2436" w:type="dxa"/>
            <w:shd w:val="clear" w:color="auto" w:fill="9B3545"/>
          </w:tcPr>
          <w:p w14:paraId="396134C7" w14:textId="77777777" w:rsidR="007E31C3" w:rsidRDefault="00000000">
            <w:pPr>
              <w:jc w:val="center"/>
            </w:pPr>
            <w:r>
              <w:rPr>
                <w:rFonts w:ascii="Garamond" w:hAnsi="Garamond"/>
                <w:b/>
                <w:color w:val="FFFFFF"/>
                <w:sz w:val="19"/>
              </w:rPr>
              <w:t>Avg Ticket</w:t>
            </w:r>
          </w:p>
        </w:tc>
      </w:tr>
      <w:tr w:rsidR="007E31C3" w14:paraId="4F76800F" w14:textId="77777777">
        <w:tc>
          <w:tcPr>
            <w:tcW w:w="2436" w:type="dxa"/>
            <w:shd w:val="clear" w:color="auto" w:fill="FAF5F0"/>
          </w:tcPr>
          <w:p w14:paraId="68FBDA9D" w14:textId="77777777" w:rsidR="007E31C3" w:rsidRDefault="00000000">
            <w:r>
              <w:rPr>
                <w:rFonts w:ascii="Garamond" w:hAnsi="Garamond"/>
                <w:b/>
                <w:color w:val="6B1A2A"/>
                <w:sz w:val="19"/>
              </w:rPr>
              <w:t>Premium Buyers</w:t>
            </w:r>
          </w:p>
        </w:tc>
        <w:tc>
          <w:tcPr>
            <w:tcW w:w="2436" w:type="dxa"/>
          </w:tcPr>
          <w:p w14:paraId="20FE9520" w14:textId="77777777" w:rsidR="007E31C3" w:rsidRDefault="00000000">
            <w:r>
              <w:rPr>
                <w:rFonts w:ascii="Garamond" w:hAnsi="Garamond"/>
                <w:sz w:val="19"/>
              </w:rPr>
              <w:t>138</w:t>
            </w:r>
          </w:p>
        </w:tc>
        <w:tc>
          <w:tcPr>
            <w:tcW w:w="2436" w:type="dxa"/>
          </w:tcPr>
          <w:p w14:paraId="61ABA92A" w14:textId="77777777" w:rsidR="007E31C3" w:rsidRDefault="00000000">
            <w:r>
              <w:rPr>
                <w:rFonts w:ascii="Garamond" w:hAnsi="Garamond"/>
                <w:sz w:val="19"/>
              </w:rPr>
              <w:t>€71 - €100</w:t>
            </w:r>
          </w:p>
        </w:tc>
        <w:tc>
          <w:tcPr>
            <w:tcW w:w="2436" w:type="dxa"/>
          </w:tcPr>
          <w:p w14:paraId="1185A779" w14:textId="77777777" w:rsidR="007E31C3" w:rsidRDefault="00000000">
            <w:r>
              <w:rPr>
                <w:rFonts w:ascii="Garamond" w:hAnsi="Garamond"/>
                <w:sz w:val="19"/>
              </w:rPr>
              <w:t>€86</w:t>
            </w:r>
          </w:p>
        </w:tc>
      </w:tr>
      <w:tr w:rsidR="007E31C3" w14:paraId="04D5113D" w14:textId="77777777">
        <w:tc>
          <w:tcPr>
            <w:tcW w:w="2436" w:type="dxa"/>
            <w:shd w:val="clear" w:color="auto" w:fill="FAF5F0"/>
          </w:tcPr>
          <w:p w14:paraId="101B94A5" w14:textId="77777777" w:rsidR="007E31C3" w:rsidRDefault="00000000">
            <w:r>
              <w:rPr>
                <w:rFonts w:ascii="Garamond" w:hAnsi="Garamond"/>
                <w:b/>
                <w:color w:val="6B1A2A"/>
                <w:sz w:val="19"/>
              </w:rPr>
              <w:t>Core Buyers</w:t>
            </w:r>
          </w:p>
        </w:tc>
        <w:tc>
          <w:tcPr>
            <w:tcW w:w="2436" w:type="dxa"/>
          </w:tcPr>
          <w:p w14:paraId="0D224594" w14:textId="77777777" w:rsidR="007E31C3" w:rsidRDefault="00000000">
            <w:r>
              <w:rPr>
                <w:rFonts w:ascii="Garamond" w:hAnsi="Garamond"/>
                <w:sz w:val="19"/>
              </w:rPr>
              <w:t>138</w:t>
            </w:r>
          </w:p>
        </w:tc>
        <w:tc>
          <w:tcPr>
            <w:tcW w:w="2436" w:type="dxa"/>
          </w:tcPr>
          <w:p w14:paraId="76D3E4C0" w14:textId="77777777" w:rsidR="007E31C3" w:rsidRDefault="00000000">
            <w:r>
              <w:rPr>
                <w:rFonts w:ascii="Garamond" w:hAnsi="Garamond"/>
                <w:sz w:val="19"/>
              </w:rPr>
              <w:t>€40 - €70</w:t>
            </w:r>
          </w:p>
        </w:tc>
        <w:tc>
          <w:tcPr>
            <w:tcW w:w="2436" w:type="dxa"/>
          </w:tcPr>
          <w:p w14:paraId="39FB9D7A" w14:textId="77777777" w:rsidR="007E31C3" w:rsidRDefault="00000000">
            <w:r>
              <w:rPr>
                <w:rFonts w:ascii="Garamond" w:hAnsi="Garamond"/>
                <w:sz w:val="19"/>
              </w:rPr>
              <w:t>€55</w:t>
            </w:r>
          </w:p>
        </w:tc>
      </w:tr>
      <w:tr w:rsidR="007E31C3" w14:paraId="3557E219" w14:textId="77777777">
        <w:tc>
          <w:tcPr>
            <w:tcW w:w="2436" w:type="dxa"/>
            <w:shd w:val="clear" w:color="auto" w:fill="FAF5F0"/>
          </w:tcPr>
          <w:p w14:paraId="7D03024F" w14:textId="77777777" w:rsidR="007E31C3" w:rsidRDefault="00000000">
            <w:r>
              <w:rPr>
                <w:rFonts w:ascii="Garamond" w:hAnsi="Garamond"/>
                <w:b/>
                <w:color w:val="6B1A2A"/>
                <w:sz w:val="19"/>
              </w:rPr>
              <w:t>Entry Buyers</w:t>
            </w:r>
          </w:p>
        </w:tc>
        <w:tc>
          <w:tcPr>
            <w:tcW w:w="2436" w:type="dxa"/>
          </w:tcPr>
          <w:p w14:paraId="777C96E5" w14:textId="77777777" w:rsidR="007E31C3" w:rsidRDefault="00000000">
            <w:r>
              <w:rPr>
                <w:rFonts w:ascii="Garamond" w:hAnsi="Garamond"/>
                <w:sz w:val="19"/>
              </w:rPr>
              <w:t>128</w:t>
            </w:r>
          </w:p>
        </w:tc>
        <w:tc>
          <w:tcPr>
            <w:tcW w:w="2436" w:type="dxa"/>
          </w:tcPr>
          <w:p w14:paraId="01B5B553" w14:textId="77777777" w:rsidR="007E31C3" w:rsidRDefault="00000000">
            <w:r>
              <w:rPr>
                <w:rFonts w:ascii="Garamond" w:hAnsi="Garamond"/>
                <w:sz w:val="19"/>
              </w:rPr>
              <w:t>€10 - €39</w:t>
            </w:r>
          </w:p>
        </w:tc>
        <w:tc>
          <w:tcPr>
            <w:tcW w:w="2436" w:type="dxa"/>
          </w:tcPr>
          <w:p w14:paraId="32F9D472" w14:textId="77777777" w:rsidR="007E31C3" w:rsidRDefault="00000000">
            <w:r>
              <w:rPr>
                <w:rFonts w:ascii="Garamond" w:hAnsi="Garamond"/>
                <w:sz w:val="19"/>
              </w:rPr>
              <w:t>€24</w:t>
            </w:r>
          </w:p>
        </w:tc>
      </w:tr>
    </w:tbl>
    <w:p w14:paraId="0789AAE8" w14:textId="77777777" w:rsidR="007E31C3" w:rsidRDefault="007E31C3"/>
    <w:p w14:paraId="6CB001DE" w14:textId="0B0DE751" w:rsidR="007E31C3" w:rsidRDefault="00000000" w:rsidP="00287C0B">
      <w:pPr>
        <w:jc w:val="center"/>
      </w:pPr>
      <w:r>
        <w:rPr>
          <w:noProof/>
        </w:rPr>
        <w:drawing>
          <wp:inline distT="0" distB="0" distL="0" distR="0" wp14:anchorId="610DE3FF" wp14:editId="6CF08766">
            <wp:extent cx="5669280" cy="21370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2137018"/>
                    </a:xfrm>
                    <a:prstGeom prst="rect">
                      <a:avLst/>
                    </a:prstGeom>
                  </pic:spPr>
                </pic:pic>
              </a:graphicData>
            </a:graphic>
          </wp:inline>
        </w:drawing>
      </w:r>
    </w:p>
    <w:p w14:paraId="37449484" w14:textId="77777777" w:rsidR="007E31C3" w:rsidRDefault="00000000">
      <w:pPr>
        <w:spacing w:before="120" w:after="80"/>
      </w:pPr>
      <w:r>
        <w:rPr>
          <w:rFonts w:ascii="Garamond" w:hAnsi="Garamond"/>
          <w:b/>
          <w:color w:val="6B1A2A"/>
          <w:sz w:val="26"/>
        </w:rPr>
        <w:t>Revenue Contribution by Segment</w:t>
      </w:r>
    </w:p>
    <w:p w14:paraId="5D0250F6" w14:textId="77777777" w:rsidR="007E31C3" w:rsidRDefault="00000000">
      <w:pPr>
        <w:spacing w:before="40" w:after="80"/>
      </w:pPr>
      <w:r>
        <w:rPr>
          <w:rFonts w:ascii="Garamond" w:hAnsi="Garamond"/>
          <w:sz w:val="20"/>
        </w:rPr>
        <w:t>Revenue is estimated as ticket value x monthly visit frequency x 12 months. Champions represent an outsized share of estimated annual revenue despite being outnumbered by Loyal Regulars - underlining the value of protecting high-frequency, high-spend customers.</w:t>
      </w:r>
    </w:p>
    <w:p w14:paraId="3CE8D25F" w14:textId="77777777" w:rsidR="007E31C3" w:rsidRDefault="00000000">
      <w:pPr>
        <w:jc w:val="center"/>
      </w:pPr>
      <w:r>
        <w:rPr>
          <w:noProof/>
        </w:rPr>
        <w:drawing>
          <wp:inline distT="0" distB="0" distL="0" distR="0" wp14:anchorId="6287451F" wp14:editId="7A7393D8">
            <wp:extent cx="5303520" cy="25996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03520" cy="2599686"/>
                    </a:xfrm>
                    <a:prstGeom prst="rect">
                      <a:avLst/>
                    </a:prstGeom>
                  </pic:spPr>
                </pic:pic>
              </a:graphicData>
            </a:graphic>
          </wp:inline>
        </w:drawing>
      </w:r>
    </w:p>
    <w:p w14:paraId="4ADB5AA8" w14:textId="77777777" w:rsidR="007E31C3" w:rsidRDefault="00000000">
      <w:r>
        <w:br w:type="page"/>
      </w:r>
    </w:p>
    <w:p w14:paraId="5C31B832" w14:textId="77777777" w:rsidR="007E31C3" w:rsidRDefault="00000000">
      <w:pPr>
        <w:spacing w:before="160" w:after="80"/>
      </w:pPr>
      <w:r>
        <w:rPr>
          <w:rFonts w:ascii="Garamond" w:hAnsi="Garamond"/>
          <w:b/>
          <w:color w:val="6B1A2A"/>
          <w:sz w:val="32"/>
        </w:rPr>
        <w:lastRenderedPageBreak/>
        <w:t>Customer Personas</w:t>
      </w:r>
    </w:p>
    <w:p w14:paraId="7A7435D8" w14:textId="77777777" w:rsidR="007E31C3" w:rsidRDefault="007E31C3">
      <w:pPr>
        <w:pBdr>
          <w:bottom w:val="single" w:sz="6" w:space="1" w:color="6B1A2A"/>
        </w:pBdr>
        <w:spacing w:before="120" w:after="120"/>
      </w:pPr>
    </w:p>
    <w:p w14:paraId="31B23E22" w14:textId="2F6FD216" w:rsidR="007E31C3" w:rsidRDefault="00000000" w:rsidP="00287C0B">
      <w:pPr>
        <w:jc w:val="center"/>
      </w:pPr>
      <w:r>
        <w:rPr>
          <w:noProof/>
        </w:rPr>
        <w:drawing>
          <wp:inline distT="0" distB="0" distL="0" distR="0" wp14:anchorId="3EFBC0A7" wp14:editId="5B1A91D2">
            <wp:extent cx="6217920" cy="24532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217920" cy="2453286"/>
                    </a:xfrm>
                    <a:prstGeom prst="rect">
                      <a:avLst/>
                    </a:prstGeom>
                  </pic:spPr>
                </pic:pic>
              </a:graphicData>
            </a:graphic>
          </wp:inline>
        </w:drawing>
      </w:r>
    </w:p>
    <w:p w14:paraId="1E066370" w14:textId="77777777" w:rsidR="007E31C3" w:rsidRDefault="00000000">
      <w:pPr>
        <w:spacing w:before="120" w:after="80"/>
      </w:pPr>
      <w:r>
        <w:rPr>
          <w:rFonts w:ascii="Garamond" w:hAnsi="Garamond"/>
          <w:b/>
          <w:color w:val="6B1A2A"/>
          <w:sz w:val="26"/>
        </w:rPr>
        <w:t>Strategic Recommendations by Segment</w:t>
      </w:r>
    </w:p>
    <w:p w14:paraId="7621854B" w14:textId="77777777" w:rsidR="007E31C3" w:rsidRDefault="00000000">
      <w:pPr>
        <w:spacing w:before="160" w:after="80"/>
      </w:pPr>
      <w:r>
        <w:rPr>
          <w:rFonts w:ascii="Garamond" w:hAnsi="Garamond"/>
          <w:b/>
          <w:color w:val="9B3545"/>
        </w:rPr>
        <w:t>Champions</w:t>
      </w:r>
    </w:p>
    <w:p w14:paraId="7F0384A1" w14:textId="77777777" w:rsidR="007E31C3" w:rsidRDefault="00000000">
      <w:pPr>
        <w:pStyle w:val="ListBullet"/>
        <w:spacing w:before="40" w:after="40"/>
      </w:pPr>
      <w:r>
        <w:rPr>
          <w:rFonts w:ascii="Garamond" w:hAnsi="Garamond"/>
          <w:sz w:val="20"/>
        </w:rPr>
        <w:t>Launch a named loyalty programme (e.g. "Cave Club") with a stamp card or digital membership.</w:t>
      </w:r>
    </w:p>
    <w:p w14:paraId="45041464" w14:textId="77777777" w:rsidR="007E31C3" w:rsidRDefault="00000000">
      <w:pPr>
        <w:pStyle w:val="ListBullet"/>
        <w:spacing w:before="40" w:after="40"/>
      </w:pPr>
      <w:r>
        <w:rPr>
          <w:rFonts w:ascii="Garamond" w:hAnsi="Garamond"/>
          <w:sz w:val="20"/>
        </w:rPr>
        <w:t>Invite to private tastings, new-arrival previews, and producer evenings.</w:t>
      </w:r>
    </w:p>
    <w:p w14:paraId="488F1C91" w14:textId="77777777" w:rsidR="007E31C3" w:rsidRDefault="00000000">
      <w:pPr>
        <w:pStyle w:val="ListBullet"/>
        <w:spacing w:before="40" w:after="40"/>
      </w:pPr>
      <w:r>
        <w:rPr>
          <w:rFonts w:ascii="Garamond" w:hAnsi="Garamond"/>
          <w:sz w:val="20"/>
        </w:rPr>
        <w:t>Offer premium hamper bundles (wine + Spanish ham or salmon) as a default upsell at checkout.</w:t>
      </w:r>
    </w:p>
    <w:p w14:paraId="3547B128" w14:textId="77777777" w:rsidR="007E31C3" w:rsidRDefault="00000000">
      <w:pPr>
        <w:pStyle w:val="ListBullet"/>
        <w:spacing w:before="40" w:after="40"/>
      </w:pPr>
      <w:r>
        <w:rPr>
          <w:rFonts w:ascii="Garamond" w:hAnsi="Garamond"/>
          <w:sz w:val="20"/>
        </w:rPr>
        <w:t>Ensure consistent, high-quality in-store experience - this group is retention-sensitive.</w:t>
      </w:r>
    </w:p>
    <w:p w14:paraId="1A641424" w14:textId="77777777" w:rsidR="007E31C3" w:rsidRDefault="00000000">
      <w:pPr>
        <w:spacing w:before="160" w:after="80"/>
      </w:pPr>
      <w:r>
        <w:rPr>
          <w:rFonts w:ascii="Garamond" w:hAnsi="Garamond"/>
          <w:b/>
          <w:color w:val="9B3545"/>
        </w:rPr>
        <w:t>Loyal Regulars</w:t>
      </w:r>
    </w:p>
    <w:p w14:paraId="0C655CEF" w14:textId="77777777" w:rsidR="007E31C3" w:rsidRDefault="00000000">
      <w:pPr>
        <w:pStyle w:val="ListBullet"/>
        <w:spacing w:before="40" w:after="40"/>
      </w:pPr>
      <w:r>
        <w:rPr>
          <w:rFonts w:ascii="Garamond" w:hAnsi="Garamond"/>
          <w:sz w:val="20"/>
        </w:rPr>
        <w:t>Introduce a "Pair It" recommendation card at the till suggesting one deli item per wine.</w:t>
      </w:r>
    </w:p>
    <w:p w14:paraId="27AAE49D" w14:textId="77777777" w:rsidR="007E31C3" w:rsidRDefault="00000000">
      <w:pPr>
        <w:pStyle w:val="ListBullet"/>
        <w:spacing w:before="40" w:after="40"/>
      </w:pPr>
      <w:r>
        <w:rPr>
          <w:rFonts w:ascii="Garamond" w:hAnsi="Garamond"/>
          <w:sz w:val="20"/>
        </w:rPr>
        <w:t>Run a "trade-up" mechanic: spend €10 more and receive a complimentary deli taster.</w:t>
      </w:r>
    </w:p>
    <w:p w14:paraId="62111FD1" w14:textId="77777777" w:rsidR="007E31C3" w:rsidRDefault="00000000">
      <w:pPr>
        <w:pStyle w:val="ListBullet"/>
        <w:spacing w:before="40" w:after="40"/>
      </w:pPr>
      <w:r>
        <w:rPr>
          <w:rFonts w:ascii="Garamond" w:hAnsi="Garamond"/>
          <w:sz w:val="20"/>
        </w:rPr>
        <w:t>Develop a monthly curated box (wine + 2-3 deli items) at a slight discount vs individual pricing.</w:t>
      </w:r>
    </w:p>
    <w:p w14:paraId="45FE8B63" w14:textId="77777777" w:rsidR="007E31C3" w:rsidRDefault="00000000">
      <w:pPr>
        <w:pStyle w:val="ListBullet"/>
        <w:spacing w:before="40" w:after="40"/>
      </w:pPr>
      <w:r>
        <w:rPr>
          <w:rFonts w:ascii="Garamond" w:hAnsi="Garamond"/>
          <w:sz w:val="20"/>
        </w:rPr>
        <w:t>Highlight premium deli provenance in-store - this group visits frequently and will read signage.</w:t>
      </w:r>
    </w:p>
    <w:p w14:paraId="51363579" w14:textId="77777777" w:rsidR="007E31C3" w:rsidRDefault="00000000">
      <w:pPr>
        <w:spacing w:before="160" w:after="80"/>
      </w:pPr>
      <w:r>
        <w:rPr>
          <w:rFonts w:ascii="Garamond" w:hAnsi="Garamond"/>
          <w:b/>
          <w:color w:val="9B3545"/>
        </w:rPr>
        <w:t>Occasion Splurgers</w:t>
      </w:r>
    </w:p>
    <w:p w14:paraId="27AE3B00" w14:textId="77777777" w:rsidR="007E31C3" w:rsidRDefault="00000000">
      <w:pPr>
        <w:pStyle w:val="ListBullet"/>
        <w:spacing w:before="40" w:after="40"/>
      </w:pPr>
      <w:r>
        <w:rPr>
          <w:rFonts w:ascii="Garamond" w:hAnsi="Garamond"/>
          <w:sz w:val="20"/>
        </w:rPr>
        <w:t>Build a seasonal hamper range (Christmas, Easter, summer) priced €60-100 to match their spend level.</w:t>
      </w:r>
    </w:p>
    <w:p w14:paraId="621A32E2" w14:textId="77777777" w:rsidR="007E31C3" w:rsidRDefault="00000000">
      <w:pPr>
        <w:pStyle w:val="ListBullet"/>
        <w:spacing w:before="40" w:after="40"/>
      </w:pPr>
      <w:r>
        <w:rPr>
          <w:rFonts w:ascii="Garamond" w:hAnsi="Garamond"/>
          <w:sz w:val="20"/>
        </w:rPr>
        <w:t>Create shareable social-media-ready gift packaging to encourage word-of-mouth gifting.</w:t>
      </w:r>
    </w:p>
    <w:p w14:paraId="221EF7AC" w14:textId="77777777" w:rsidR="007E31C3" w:rsidRDefault="00000000">
      <w:pPr>
        <w:pStyle w:val="ListBullet"/>
        <w:spacing w:before="40" w:after="40"/>
      </w:pPr>
      <w:r>
        <w:rPr>
          <w:rFonts w:ascii="Garamond" w:hAnsi="Garamond"/>
          <w:sz w:val="20"/>
        </w:rPr>
        <w:t>Email/WhatsApp campaign before key occasions (Valentines, Mother's Day, festive season).</w:t>
      </w:r>
    </w:p>
    <w:p w14:paraId="191046B9" w14:textId="77777777" w:rsidR="007E31C3" w:rsidRDefault="00000000">
      <w:pPr>
        <w:pStyle w:val="ListBullet"/>
        <w:spacing w:before="40" w:after="40"/>
      </w:pPr>
      <w:r>
        <w:rPr>
          <w:rFonts w:ascii="Garamond" w:hAnsi="Garamond"/>
          <w:sz w:val="20"/>
        </w:rPr>
        <w:t>Position the store as a one-stop gift destination, not just a wine shop.</w:t>
      </w:r>
    </w:p>
    <w:p w14:paraId="2075D464" w14:textId="77777777" w:rsidR="007E31C3" w:rsidRDefault="00000000">
      <w:pPr>
        <w:spacing w:before="160" w:after="80"/>
      </w:pPr>
      <w:r>
        <w:rPr>
          <w:rFonts w:ascii="Garamond" w:hAnsi="Garamond"/>
          <w:b/>
          <w:color w:val="9B3545"/>
        </w:rPr>
        <w:t>Casual Visitors</w:t>
      </w:r>
    </w:p>
    <w:p w14:paraId="6361C81C" w14:textId="77777777" w:rsidR="007E31C3" w:rsidRDefault="00000000">
      <w:pPr>
        <w:pStyle w:val="ListBullet"/>
        <w:spacing w:before="40" w:after="40"/>
      </w:pPr>
      <w:r>
        <w:rPr>
          <w:rFonts w:ascii="Garamond" w:hAnsi="Garamond"/>
          <w:sz w:val="20"/>
        </w:rPr>
        <w:t>Activate on Instagram/social with accessible, entry-level content (wine tips, easy pairings).</w:t>
      </w:r>
    </w:p>
    <w:p w14:paraId="3946B476" w14:textId="77777777" w:rsidR="007E31C3" w:rsidRDefault="00000000">
      <w:pPr>
        <w:pStyle w:val="ListBullet"/>
        <w:spacing w:before="40" w:after="40"/>
      </w:pPr>
      <w:r>
        <w:rPr>
          <w:rFonts w:ascii="Garamond" w:hAnsi="Garamond"/>
          <w:sz w:val="20"/>
        </w:rPr>
        <w:t>Offer a "first deli taster" with any wine purchase to lower the barrier to cross-category trial.</w:t>
      </w:r>
    </w:p>
    <w:p w14:paraId="6885E7FC" w14:textId="77777777" w:rsidR="007E31C3" w:rsidRDefault="00000000">
      <w:pPr>
        <w:pStyle w:val="ListBullet"/>
        <w:spacing w:before="40" w:after="40"/>
      </w:pPr>
      <w:r>
        <w:rPr>
          <w:rFonts w:ascii="Garamond" w:hAnsi="Garamond"/>
          <w:sz w:val="20"/>
        </w:rPr>
        <w:t>Run a monthly Saturday tasting event - low ticket, social, and discovery-focused.</w:t>
      </w:r>
    </w:p>
    <w:p w14:paraId="74219592" w14:textId="77777777" w:rsidR="007E31C3" w:rsidRDefault="00000000">
      <w:pPr>
        <w:pStyle w:val="ListBullet"/>
        <w:spacing w:before="40" w:after="40"/>
      </w:pPr>
      <w:r>
        <w:rPr>
          <w:rFonts w:ascii="Garamond" w:hAnsi="Garamond"/>
          <w:sz w:val="20"/>
        </w:rPr>
        <w:t>Track conversion: if this group doesn't migrate to Loyal Regulars within 6 months, re-evaluate spend.</w:t>
      </w:r>
    </w:p>
    <w:p w14:paraId="4773F8E0" w14:textId="77777777" w:rsidR="007E31C3" w:rsidRDefault="007E31C3">
      <w:pPr>
        <w:pBdr>
          <w:bottom w:val="single" w:sz="6" w:space="1" w:color="6B1A2A"/>
        </w:pBdr>
        <w:spacing w:before="120" w:after="120"/>
      </w:pPr>
    </w:p>
    <w:p w14:paraId="471F865C" w14:textId="77777777" w:rsidR="007E31C3" w:rsidRDefault="00000000">
      <w:pPr>
        <w:spacing w:before="40" w:after="80"/>
      </w:pPr>
      <w:r>
        <w:rPr>
          <w:rFonts w:ascii="Garamond" w:hAnsi="Garamond"/>
          <w:i/>
          <w:sz w:val="20"/>
        </w:rPr>
        <w:t>Cross-cutting priority: address the delicatessen perception gap. No segment defaults to premium deli. A simple "wine + deli" pairing display at eye level and staff trained to suggest one product match per purchase could shift the average basket within one quarter.</w:t>
      </w:r>
    </w:p>
    <w:sectPr w:rsidR="007E31C3"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6755664">
    <w:abstractNumId w:val="8"/>
  </w:num>
  <w:num w:numId="2" w16cid:durableId="452599617">
    <w:abstractNumId w:val="6"/>
  </w:num>
  <w:num w:numId="3" w16cid:durableId="473258236">
    <w:abstractNumId w:val="5"/>
  </w:num>
  <w:num w:numId="4" w16cid:durableId="1494491355">
    <w:abstractNumId w:val="4"/>
  </w:num>
  <w:num w:numId="5" w16cid:durableId="499123821">
    <w:abstractNumId w:val="7"/>
  </w:num>
  <w:num w:numId="6" w16cid:durableId="2097706830">
    <w:abstractNumId w:val="3"/>
  </w:num>
  <w:num w:numId="7" w16cid:durableId="753094169">
    <w:abstractNumId w:val="2"/>
  </w:num>
  <w:num w:numId="8" w16cid:durableId="1629314706">
    <w:abstractNumId w:val="1"/>
  </w:num>
  <w:num w:numId="9" w16cid:durableId="345442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C0B"/>
    <w:rsid w:val="0029639D"/>
    <w:rsid w:val="00326F90"/>
    <w:rsid w:val="007E31C3"/>
    <w:rsid w:val="00AA1D8D"/>
    <w:rsid w:val="00B47730"/>
    <w:rsid w:val="00BF4026"/>
    <w:rsid w:val="00CB0664"/>
    <w:rsid w:val="00F00D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08666"/>
  <w14:defaultImageDpi w14:val="300"/>
  <w15:docId w15:val="{1BC07F63-86DB-6343-82C2-5358AB79F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Haesaert, Lucas Joris</cp:lastModifiedBy>
  <cp:revision>2</cp:revision>
  <dcterms:created xsi:type="dcterms:W3CDTF">2013-12-23T23:15:00Z</dcterms:created>
  <dcterms:modified xsi:type="dcterms:W3CDTF">2026-05-11T20:45:00Z</dcterms:modified>
  <cp:category/>
</cp:coreProperties>
</file>