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200"/>
      </w:pPr>
      <w:r>
        <w:rPr>
          <w:rFonts w:ascii="Calibri" w:hAnsi="Calibri"/>
          <w:b/>
          <w:i w:val="0"/>
          <w:color w:val="17324D"/>
          <w:sz w:val="48"/>
        </w:rPr>
        <w:t>AI Impact Scoring Decision Deck</w:t>
      </w:r>
    </w:p>
    <w:p>
      <w:pPr>
        <w:spacing w:after="480"/>
      </w:pPr>
      <w:r>
        <w:rPr>
          <w:rFonts w:ascii="Calibri" w:hAnsi="Calibri"/>
          <w:b w:val="0"/>
          <w:i w:val="0"/>
          <w:color w:val="2E74B5"/>
          <w:sz w:val="32"/>
        </w:rPr>
        <w:t>Word-for-word presenter script</w:t>
      </w:r>
    </w:p>
    <w:p>
      <w:pPr>
        <w:spacing w:after="140" w:line="280" w:lineRule="auto"/>
      </w:pPr>
      <w:r>
        <w:rPr>
          <w:rFonts w:ascii="Calibri" w:hAnsi="Calibri"/>
          <w:b w:val="0"/>
          <w:i w:val="0"/>
          <w:color w:val="24313D"/>
          <w:sz w:val="21"/>
        </w:rPr>
        <w:t>Companion deck: ai_impact_scoring_management_decision_deck_v8.pptx</w:t>
      </w:r>
    </w:p>
    <w:p>
      <w:pPr>
        <w:spacing w:after="140" w:line="280" w:lineRule="auto"/>
      </w:pPr>
      <w:r>
        <w:rPr>
          <w:rFonts w:ascii="Calibri" w:hAnsi="Calibri"/>
          <w:b w:val="0"/>
          <w:i w:val="0"/>
          <w:color w:val="24313D"/>
          <w:sz w:val="21"/>
        </w:rPr>
        <w:t>This document contains read-aloud wording for slides 1-18. The appendix has short read-aloud lines for use only when technical questions arise.</w:t>
      </w:r>
    </w:p>
    <w:p>
      <w:r>
        <w:br w:type="page"/>
      </w:r>
    </w:p>
    <w:p>
      <w:pPr>
        <w:pStyle w:val="Heading1"/>
      </w:pPr>
      <w:r>
        <w:rPr>
          <w:rFonts w:ascii="Calibri" w:hAnsi="Calibri"/>
          <w:b/>
          <w:i w:val="0"/>
          <w:color w:val="2E74B5"/>
          <w:sz w:val="32"/>
        </w:rPr>
        <w:t>Slide 1: Choosing the scoring method behind the live AI-impact tool</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Good [morning/afternoon]. This presentation asks us to make one practical decision before we move the AI-impact tool into production. The historical dashboard, the current job-redesign proof of concept, and the future machine-learning service are related, but they are not the same measurement system. The dashboard was a one-time analytical output. The proof of concept introduced a live workflow. The future service will learn whichever scoring method we approve. Today, I will show what changed, quantify the effect of each change using the same matched tasks, and recommend a governed method for the live tool. This is not a proposal to revise the published national dashboard statistic.</w:t>
      </w:r>
    </w:p>
    <w:p>
      <w:r>
        <w:br w:type="page"/>
      </w:r>
    </w:p>
    <w:p>
      <w:pPr>
        <w:pStyle w:val="Heading1"/>
      </w:pPr>
      <w:r>
        <w:rPr>
          <w:rFonts w:ascii="Calibri" w:hAnsi="Calibri"/>
          <w:b/>
          <w:i w:val="0"/>
          <w:color w:val="2E74B5"/>
          <w:sz w:val="32"/>
        </w:rPr>
        <w:t>Slide 2: The scoring method must be approved before the ML model is trained</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The decision comes before model training because the machine-learning model cannot decide what AI impact means. It can only learn the labels we give it. So, before we create the final training dataset, we need agreement on four things: the scoring guidance, the LLM version used to apply that guidance, the task format presented to the LLM, and the production class structure of E0, E1, and merged E23. The recommendation today is a guarded internal pilot, not an immediate replacement for a public statistic. Once the method is agreed and recorded, we can create one coherent training set rather than training an efficient model against an unsettled target.</w:t>
      </w:r>
    </w:p>
    <w:p>
      <w:r>
        <w:br w:type="page"/>
      </w:r>
    </w:p>
    <w:p>
      <w:pPr>
        <w:pStyle w:val="Heading1"/>
      </w:pPr>
      <w:r>
        <w:rPr>
          <w:rFonts w:ascii="Calibri" w:hAnsi="Calibri"/>
          <w:b/>
          <w:i w:val="0"/>
          <w:color w:val="2E74B5"/>
          <w:sz w:val="32"/>
        </w:rPr>
        <w:t>Slide 3: The dashboard and live POC were built for different purposes</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The historical dashboard and the current proof of concept evolved for different purposes. The dashboard was a one-time national analytical output. The proof of concept is a live job-redesign workflow, where tasks are normalized and decomposed so that they can be scored and acted upon more clearly. Along the way, the guidance changed, the LLM changed from GPT-4o to GPT-5.2, and the task representation became more structured. None of those changes is inherently wrong. The issue is that, before a live service is built from the labels, they need to be treated as one governed scoring method rather than as informal implementation details. The study separates the three choices that changed together.</w:t>
      </w:r>
    </w:p>
    <w:p>
      <w:r>
        <w:br w:type="page"/>
      </w:r>
    </w:p>
    <w:p>
      <w:pPr>
        <w:pStyle w:val="Heading1"/>
      </w:pPr>
      <w:r>
        <w:rPr>
          <w:rFonts w:ascii="Calibri" w:hAnsi="Calibri"/>
          <w:b/>
          <w:i w:val="0"/>
          <w:color w:val="2E74B5"/>
          <w:sz w:val="32"/>
        </w:rPr>
        <w:t>Slide 4: Three choices can change the score</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There are three ways the score can move. First, the instructions and examples can change what the scorer is being asked to do. Second, the LLM version can interpret the same instructions differently. Third, the way a task is written can affect how clearly the work is presented to the scorer. These are not independent in every circumstance. In particular, guidance can have a different effect under GPT-4o than under GPT-5.2. So, when we say ‘scoring method’, we mean the combination of all three choices. Before looking at their effects, I will explain the headline metric and how we made the comparisons fair.</w:t>
      </w:r>
    </w:p>
    <w:p>
      <w:r>
        <w:br w:type="page"/>
      </w:r>
    </w:p>
    <w:p>
      <w:pPr>
        <w:pStyle w:val="Heading1"/>
      </w:pPr>
      <w:r>
        <w:rPr>
          <w:rFonts w:ascii="Calibri" w:hAnsi="Calibri"/>
          <w:b/>
          <w:i w:val="0"/>
          <w:color w:val="2E74B5"/>
          <w:sz w:val="32"/>
        </w:rPr>
        <w:t>Slide 5: E0 proportion is the headline measure for tracking distribution changes</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For the management discussion, we use the proportion of tasks rated E0 as the headline measure. E0 is the rubric category for no material AI impact. Its complement is the share of tasks assessed as AI-impacted. This gives us one stable boundary for comparing how the overall distribution moves when we change the scoring method. We are not discarding the other classes. E1 and merged E23 remain available in the detailed distributions and appendix. E0 is simply the clearest compact lens for the question in front of us: under a given method, how much of the task panel is being assessed as having no material AI impact?</w:t>
      </w:r>
    </w:p>
    <w:p>
      <w:r>
        <w:br w:type="page"/>
      </w:r>
    </w:p>
    <w:p>
      <w:pPr>
        <w:pStyle w:val="Heading1"/>
      </w:pPr>
      <w:r>
        <w:rPr>
          <w:rFonts w:ascii="Calibri" w:hAnsi="Calibri"/>
          <w:b/>
          <w:i w:val="0"/>
          <w:color w:val="2E74B5"/>
          <w:sz w:val="32"/>
        </w:rPr>
        <w:t>Slide 6: Every scoring method saw the same matched task panel</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To make the comparisons fair, every condition saw the same task panel. We selected 978 original tasks by simple random sampling before scoring, without using historical or new labels. For task-format comparisons, those same parents were linked to 1,696 normalized and decomposed child tasks. This means that when we compare guidance, the tasks and LLM version are held fixed. When we compare LLM versions, the tasks and guidance are held fixed. And when we compare task format, the children are linked back to their parents and every parent is given equal weight. The 16,044 calls are repeated measurements of these controlled conditions, not 16,044 independent tasks.</w:t>
      </w:r>
    </w:p>
    <w:p>
      <w:r>
        <w:br w:type="page"/>
      </w:r>
    </w:p>
    <w:p>
      <w:pPr>
        <w:pStyle w:val="Heading1"/>
      </w:pPr>
      <w:r>
        <w:rPr>
          <w:rFonts w:ascii="Calibri" w:hAnsi="Calibri"/>
          <w:b/>
          <w:i w:val="0"/>
          <w:color w:val="2E74B5"/>
          <w:sz w:val="32"/>
        </w:rPr>
        <w:t>Slide 7: E0 proportion is the headline outcome; scoring guidance has three tested levels</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We tested three scoring-guidance conditions. The first is the recovered historical dashboard guidance, including the details that were present in the original colleague script. The second is the current proof-of-concept guidance. The third is the current proof-of-concept guidance with the five historical worked examples added back in. That third condition is not a neutral average. It is a deliberate policy choice that tests whether the historical examples continue to influence results. From here onward, each comparison changes one factor while holding the others fixed. We begin by checking whether the historical method itself can be reproduced.</w:t>
      </w:r>
    </w:p>
    <w:p>
      <w:r>
        <w:br w:type="page"/>
      </w:r>
    </w:p>
    <w:p>
      <w:pPr>
        <w:pStyle w:val="Heading1"/>
      </w:pPr>
      <w:r>
        <w:rPr>
          <w:rFonts w:ascii="Calibri" w:hAnsi="Calibri"/>
          <w:b/>
          <w:i w:val="0"/>
          <w:color w:val="2E74B5"/>
          <w:sz w:val="32"/>
        </w:rPr>
        <w:t>Slide 8: The published 23.6% result is reproducible when the historical method is used</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We were able to strongly reproduce the historical method once the original colleague script was recovered. The important details were the SFW rubric, five specific worked examples, occupation-plus-task framing, JSON response format, temperature, and seed. On the same panel, the replay returned 23.0 percent AI-impacted compared with the historical 23.6 percent. It also matched 95.3 percent of the original four-class labels row by row, and 96.1 percent when reduced to E0 versus AI-impacted. This is strong evidence that the historical method is repeatable. It does not establish that the labels are objective ground truth, and we cannot verify the precise old internal gateway snapshot, but the published result is no longer an unexplained black box.</w:t>
      </w:r>
    </w:p>
    <w:p>
      <w:r>
        <w:br w:type="page"/>
      </w:r>
    </w:p>
    <w:p>
      <w:pPr>
        <w:pStyle w:val="Heading1"/>
      </w:pPr>
      <w:r>
        <w:rPr>
          <w:rFonts w:ascii="Calibri" w:hAnsi="Calibri"/>
          <w:b/>
          <w:i w:val="0"/>
          <w:color w:val="2E74B5"/>
          <w:sz w:val="32"/>
        </w:rPr>
        <w:t>Slide 9: On the same tasks, E0 proportion ranges from 31.9% to 77.0%</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This slide shows why the method decision matters. These results all come from the same 978 original tasks. Depending on the guidance and LLM version, the E0 proportion ranges from 31.9 percent to 77.0 percent. That is a 45-point span on an unchanged task sample. It cannot be explained by selecting a different group of tasks. It shows that the guidance and LLM version materially define the measure. We should not read diagonal differences in this table as one-factor effects. The next slides use matched comparisons that change one factor at a time.</w:t>
      </w:r>
    </w:p>
    <w:p>
      <w:r>
        <w:br w:type="page"/>
      </w:r>
    </w:p>
    <w:p>
      <w:pPr>
        <w:pStyle w:val="Heading1"/>
      </w:pPr>
      <w:r>
        <w:rPr>
          <w:rFonts w:ascii="Calibri" w:hAnsi="Calibri"/>
          <w:b/>
          <w:i w:val="0"/>
          <w:color w:val="2E74B5"/>
          <w:sz w:val="32"/>
        </w:rPr>
        <w:t>Slide 10: Current POC guidance lowers E0 by 35.9 points with GPT-4o and 6.6 with GPT-5.2</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First, we isolate the effect of moving from historical dashboard guidance to current proof-of-concept guidance. With GPT-4o held fixed, E0 moves from 77.0 percent to 41.1 percent. That is a reduction of 35.9 percentage points. With GPT-5.2 held fixed, E0 moves from 38.5 percent to 31.9 percent, a reduction of 6.6 points. So the guidance matters under both LLM versions, but its size depends on which LLM is applying it. This is an interaction. There is no single universal effect of changing the prompt. The next slide tests whether the historical worked examples themselves are part of that effect.</w:t>
      </w:r>
    </w:p>
    <w:p>
      <w:r>
        <w:br w:type="page"/>
      </w:r>
    </w:p>
    <w:p>
      <w:pPr>
        <w:pStyle w:val="Heading1"/>
      </w:pPr>
      <w:r>
        <w:rPr>
          <w:rFonts w:ascii="Calibri" w:hAnsi="Calibri"/>
          <w:b/>
          <w:i w:val="0"/>
          <w:color w:val="2E74B5"/>
          <w:sz w:val="32"/>
        </w:rPr>
        <w:t>Slide 11: Adding the historical examples back partially reverses the shift</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When we add the five historical worked examples to the current proof-of-concept guidance, E0 rises again. With GPT-4o, it rises by 13.1 percentage points. With GPT-5.2, it rises by 3.9 points. In other words, the examples pull the distribution back toward the historical result, particularly under GPT-4o. That tells us the examples are not decorative. They are part of the scoring policy because they anchor how borderline tasks are interpreted. We should not select this option merely because it produces a more comfortable middle number. It should be selected only if we want those historical example judgments to continue shaping the live tool.</w:t>
      </w:r>
    </w:p>
    <w:p>
      <w:r>
        <w:br w:type="page"/>
      </w:r>
    </w:p>
    <w:p>
      <w:pPr>
        <w:pStyle w:val="Heading1"/>
      </w:pPr>
      <w:r>
        <w:rPr>
          <w:rFonts w:ascii="Calibri" w:hAnsi="Calibri"/>
          <w:b/>
          <w:i w:val="0"/>
          <w:color w:val="2E74B5"/>
          <w:sz w:val="32"/>
        </w:rPr>
        <w:t>Slide 12: Changing from GPT-4o to GPT-5.2 changes E0 by 9.2 to 38.4 points</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Next, we hold the task panel and guidance fixed and change only the LLM version. GPT-5.2 produces less E0 under all three guidance conditions. Under historical dashboard guidance, moving from GPT-4o to GPT-5.2 reduces E0 by 38.4 points. Under current proof-of-concept guidance, the reduction is 9.2 points. With historical examples added, it is 18.4 points. So GPT-5.2 is not a simple technical upgrade that leaves the measure unchanged. Its impact depends on the guidance it is paired with. For production, the guidance and LLM version need to be governed and versioned together.</w:t>
      </w:r>
    </w:p>
    <w:p>
      <w:r>
        <w:br w:type="page"/>
      </w:r>
    </w:p>
    <w:p>
      <w:pPr>
        <w:pStyle w:val="Heading1"/>
      </w:pPr>
      <w:r>
        <w:rPr>
          <w:rFonts w:ascii="Calibri" w:hAnsi="Calibri"/>
          <w:b/>
          <w:i w:val="0"/>
          <w:color w:val="2E74B5"/>
          <w:sz w:val="32"/>
        </w:rPr>
        <w:t>Slide 13: Normalization and decomposition change E0 by no more than about 3 points in this panel</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We then tested task format. Here, we compare each original parent task with its linked normalized and decomposed children, while giving every parent equal weight so that a parent with many children does not dominate the result. The effect is small: approximately zero to three percentage points across the tested conditions. In the recommended configuration, normalized and decomposed tasks reduce E0 by 1.1 points. This is important because it separates two ideas. Structured tasks do improve clarity, traceability, and the operational scoring unit. But they do not explain the large distribution shift away from the historical dashboard. The much larger movements come from scoring guidance and LLM version.</w:t>
      </w:r>
    </w:p>
    <w:p>
      <w:r>
        <w:br w:type="page"/>
      </w:r>
    </w:p>
    <w:p>
      <w:pPr>
        <w:pStyle w:val="Heading1"/>
      </w:pPr>
      <w:r>
        <w:rPr>
          <w:rFonts w:ascii="Calibri" w:hAnsi="Calibri"/>
          <w:b/>
          <w:i w:val="0"/>
          <w:color w:val="2E74B5"/>
          <w:sz w:val="32"/>
        </w:rPr>
        <w:t>Slide 14: Scoring guidance and LLM version drive the result; task format mainly improves operational consistency</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Putting the results together, scoring guidance and LLM version are the major drivers of the distribution. Their effects also interact, so neither should be chosen in isolation. Task format has a much smaller distributional effect in this matched panel, but it has an important operational value. Normalized and decomposed tasks provide a clearer unit of work, reduce ambiguity in multi-action statements, and make downstream review and job-redesign use more traceable. The ranges shown here describe this study panel. They should not be treated as universal constants for every future task population. But they are strong enough to show where the large shifts are coming from.</w:t>
      </w:r>
    </w:p>
    <w:p>
      <w:r>
        <w:br w:type="page"/>
      </w:r>
    </w:p>
    <w:p>
      <w:pPr>
        <w:pStyle w:val="Heading1"/>
      </w:pPr>
      <w:r>
        <w:rPr>
          <w:rFonts w:ascii="Calibri" w:hAnsi="Calibri"/>
          <w:b/>
          <w:i w:val="0"/>
          <w:color w:val="2E74B5"/>
          <w:sz w:val="32"/>
        </w:rPr>
        <w:t>Slide 15: The historical dashboard and live tool should remain separate, versioned measures</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The governance implication is straightforward. The historical dashboard result of 23.6 percent AI-impacted should remain the published historical measure, with its recovered method documented. The live tool can use a current scoring method, but its distribution should not be presented as a revised national time series. Otherwise, we would be mixing a change in measurement method with a claim that the underlying world has changed. A new live-tool distribution is not evidence that national AI impact suddenly increased. If the dashboard is ever revised, that should be a separate, explicitly governed methodology change with its own bridge study and communications plan.</w:t>
      </w:r>
    </w:p>
    <w:p>
      <w:r>
        <w:br w:type="page"/>
      </w:r>
    </w:p>
    <w:p>
      <w:pPr>
        <w:pStyle w:val="Heading1"/>
      </w:pPr>
      <w:r>
        <w:rPr>
          <w:rFonts w:ascii="Calibri" w:hAnsi="Calibri"/>
          <w:b/>
          <w:i w:val="0"/>
          <w:color w:val="2E74B5"/>
          <w:sz w:val="32"/>
        </w:rPr>
        <w:t>Slide 16: Four defensible configurations for the live tool</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There are four defensible configurations on this slide. The first maximizes continuity with the historical dashboard. The second uses current proof-of-concept guidance, GPT-5.2, and normalized/decomposed tasks. This is the recommended guarded pilot because it is closest to the intended live workflow. The third keeps GPT-5.2 but adds the historical examples, if stakeholders want those examples to continue influencing scoring. The fourth combines the historical examples with GPT-4o and produces a middle distribution. But a middle number is not automatically more valid. These are different target definitions for the future classifier, not competing model scores. The policy should be chosen for conceptual fit and operational intent, not for which percentage feels safest.</w:t>
      </w:r>
    </w:p>
    <w:p>
      <w:r>
        <w:br w:type="page"/>
      </w:r>
    </w:p>
    <w:p>
      <w:pPr>
        <w:pStyle w:val="Heading1"/>
      </w:pPr>
      <w:r>
        <w:rPr>
          <w:rFonts w:ascii="Calibri" w:hAnsi="Calibri"/>
          <w:b/>
          <w:i w:val="0"/>
          <w:color w:val="2E74B5"/>
          <w:sz w:val="32"/>
        </w:rPr>
        <w:t>Slide 17: Use the current POC method for a guarded internal pilot</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My recommendation is to use the current proof-of-concept guidance, GPT-5.2, and normalized/decomposed tasks for a guarded internal pilot. This aligns the training target with the workflow we are trying to operationalize. It uses the clearer task unit and gives us one documented label-generation method to distill into a low-latency machine-learning service. The recommendation is deliberately bounded. It does not claim that the resulting distribution is national ground truth, and it does not overwrite the historical dashboard. The pilot should include review flags, drift monitoring, and sampled human review, especially for unfamiliar task language and low-confidence predictions.</w:t>
      </w:r>
    </w:p>
    <w:p>
      <w:r>
        <w:br w:type="page"/>
      </w:r>
    </w:p>
    <w:p>
      <w:pPr>
        <w:pStyle w:val="Heading1"/>
      </w:pPr>
      <w:r>
        <w:rPr>
          <w:rFonts w:ascii="Calibri" w:hAnsi="Calibri"/>
          <w:b/>
          <w:i w:val="0"/>
          <w:color w:val="2E74B5"/>
          <w:sz w:val="32"/>
        </w:rPr>
        <w:t>Slide 18: Approval unlocks one governed training dataset and a monitored ML pilot</w:t>
      </w:r>
    </w:p>
    <w:p>
      <w:pPr>
        <w:spacing w:after="160" w:line="280" w:lineRule="auto"/>
      </w:pPr>
      <w:r>
        <w:rPr>
          <w:rFonts w:ascii="Calibri" w:hAnsi="Calibri"/>
          <w:b w:val="0"/>
          <w:i/>
          <w:color w:val="24313D"/>
          <w:sz w:val="20"/>
        </w:rPr>
        <w:t>Read aloud</w:t>
      </w:r>
    </w:p>
    <w:p>
      <w:pPr>
        <w:spacing w:after="0" w:line="280" w:lineRule="auto"/>
      </w:pPr>
      <w:r>
        <w:rPr>
          <w:rFonts w:ascii="Calibri" w:hAnsi="Calibri"/>
          <w:b w:val="0"/>
          <w:i w:val="0"/>
          <w:color w:val="24313D"/>
          <w:sz w:val="22"/>
        </w:rPr>
        <w:t>To close, the approvals needed are the scoring guidance, the GPT-5.2 version and change-control approach, the normalized/decomposed task format, the E0, E1, and merged E23 production target, and separate governance for the historical dashboard. Once these are recorded, we can generate one final training dataset, conduct a label-quality review, train the classifier, and run a monitored internal pilot. The pilot should track review rate, out-of-vocabulary and unfamiliar-language signals, E0 distribution, cohort drift, and sampled disagreements. The key decision is not simply which model to train. It is which governed LLM scoring method the model is intended to reproduce.</w:t>
      </w:r>
    </w:p>
    <w:p>
      <w:r>
        <w:br w:type="page"/>
      </w:r>
    </w:p>
    <w:p>
      <w:pPr>
        <w:pStyle w:val="Heading1"/>
      </w:pPr>
      <w:r>
        <w:rPr>
          <w:rFonts w:ascii="Calibri" w:hAnsi="Calibri"/>
          <w:b/>
          <w:i w:val="0"/>
          <w:color w:val="2E74B5"/>
          <w:sz w:val="32"/>
        </w:rPr>
        <w:t>Appendix: optional read-aloud lines</w:t>
      </w:r>
    </w:p>
    <w:p>
      <w:pPr>
        <w:spacing w:after="140" w:line="280" w:lineRule="auto"/>
      </w:pPr>
      <w:r>
        <w:rPr>
          <w:rFonts w:ascii="Calibri" w:hAnsi="Calibri"/>
          <w:b w:val="0"/>
          <w:i/>
          <w:color w:val="24313D"/>
          <w:sz w:val="21"/>
        </w:rPr>
        <w:t>Use these only when you open the corresponding appendix slide in response to a question. Do not present the appendix sequentially.</w:t>
      </w:r>
    </w:p>
    <w:p>
      <w:pPr>
        <w:pStyle w:val="Heading2"/>
      </w:pPr>
      <w:r>
        <w:rPr>
          <w:rFonts w:ascii="Calibri" w:hAnsi="Calibri"/>
          <w:b/>
          <w:i w:val="0"/>
          <w:color w:val="2E74B5"/>
          <w:sz w:val="26"/>
        </w:rPr>
        <w:t>Slide 19</w:t>
      </w:r>
    </w:p>
    <w:p>
      <w:pPr>
        <w:spacing w:after="140" w:line="280" w:lineRule="auto"/>
      </w:pPr>
      <w:r>
        <w:rPr>
          <w:rFonts w:ascii="Calibri" w:hAnsi="Calibri"/>
          <w:b w:val="0"/>
          <w:i w:val="0"/>
          <w:color w:val="24313D"/>
          <w:sz w:val="21"/>
        </w:rPr>
        <w:t>The remaining slides are technical evidence. I will use them only where a question needs additional detail.</w:t>
      </w:r>
    </w:p>
    <w:p>
      <w:pPr>
        <w:pStyle w:val="Heading2"/>
      </w:pPr>
      <w:r>
        <w:rPr>
          <w:rFonts w:ascii="Calibri" w:hAnsi="Calibri"/>
          <w:b/>
          <w:i w:val="0"/>
          <w:color w:val="2E74B5"/>
          <w:sz w:val="26"/>
        </w:rPr>
        <w:t>Slide 20</w:t>
      </w:r>
    </w:p>
    <w:p>
      <w:pPr>
        <w:spacing w:after="140" w:line="280" w:lineRule="auto"/>
      </w:pPr>
      <w:r>
        <w:rPr>
          <w:rFonts w:ascii="Calibri" w:hAnsi="Calibri"/>
          <w:b w:val="0"/>
          <w:i w:val="0"/>
          <w:color w:val="24313D"/>
          <w:sz w:val="21"/>
        </w:rPr>
        <w:t>This table contains every tested cell. Percentages are calculated within each task format, so original-task and normalized-task rows are different units.</w:t>
      </w:r>
    </w:p>
    <w:p>
      <w:pPr>
        <w:pStyle w:val="Heading2"/>
      </w:pPr>
      <w:r>
        <w:rPr>
          <w:rFonts w:ascii="Calibri" w:hAnsi="Calibri"/>
          <w:b/>
          <w:i w:val="0"/>
          <w:color w:val="2E74B5"/>
          <w:sz w:val="26"/>
        </w:rPr>
        <w:t>Slide 21</w:t>
      </w:r>
    </w:p>
    <w:p>
      <w:pPr>
        <w:spacing w:after="140" w:line="280" w:lineRule="auto"/>
      </w:pPr>
      <w:r>
        <w:rPr>
          <w:rFonts w:ascii="Calibri" w:hAnsi="Calibri"/>
          <w:b w:val="0"/>
          <w:i w:val="0"/>
          <w:color w:val="24313D"/>
          <w:sz w:val="21"/>
        </w:rPr>
        <w:t>This view shows where changes in E0 move within the full E0, E1, and E23 distribution for original tasks.</w:t>
      </w:r>
    </w:p>
    <w:p>
      <w:pPr>
        <w:pStyle w:val="Heading2"/>
      </w:pPr>
      <w:r>
        <w:rPr>
          <w:rFonts w:ascii="Calibri" w:hAnsi="Calibri"/>
          <w:b/>
          <w:i w:val="0"/>
          <w:color w:val="2E74B5"/>
          <w:sz w:val="26"/>
        </w:rPr>
        <w:t>Slide 22</w:t>
      </w:r>
    </w:p>
    <w:p>
      <w:pPr>
        <w:spacing w:after="140" w:line="280" w:lineRule="auto"/>
      </w:pPr>
      <w:r>
        <w:rPr>
          <w:rFonts w:ascii="Calibri" w:hAnsi="Calibri"/>
          <w:b w:val="0"/>
          <w:i w:val="0"/>
          <w:color w:val="24313D"/>
          <w:sz w:val="21"/>
        </w:rPr>
        <w:t>This is the same distribution view for normalized and decomposed tasks. It is an atomic-task view, not a replacement national parent-task statistic.</w:t>
      </w:r>
    </w:p>
    <w:p>
      <w:pPr>
        <w:pStyle w:val="Heading2"/>
      </w:pPr>
      <w:r>
        <w:rPr>
          <w:rFonts w:ascii="Calibri" w:hAnsi="Calibri"/>
          <w:b/>
          <w:i w:val="0"/>
          <w:color w:val="2E74B5"/>
          <w:sz w:val="26"/>
        </w:rPr>
        <w:t>Slide 23</w:t>
      </w:r>
    </w:p>
    <w:p>
      <w:pPr>
        <w:spacing w:after="140" w:line="280" w:lineRule="auto"/>
      </w:pPr>
      <w:r>
        <w:rPr>
          <w:rFonts w:ascii="Calibri" w:hAnsi="Calibri"/>
          <w:b w:val="0"/>
          <w:i w:val="0"/>
          <w:color w:val="24313D"/>
          <w:sz w:val="21"/>
        </w:rPr>
        <w:t>This is the detailed evidence for historical-method repeatability: 95.3 percent exact four-class agreement and 96.1 percent E0-versus-impacted agreement.</w:t>
      </w:r>
    </w:p>
    <w:p>
      <w:pPr>
        <w:pStyle w:val="Heading2"/>
      </w:pPr>
      <w:r>
        <w:rPr>
          <w:rFonts w:ascii="Calibri" w:hAnsi="Calibri"/>
          <w:b/>
          <w:i w:val="0"/>
          <w:color w:val="2E74B5"/>
          <w:sz w:val="26"/>
        </w:rPr>
        <w:t>Slide 24</w:t>
      </w:r>
    </w:p>
    <w:p>
      <w:pPr>
        <w:spacing w:after="140" w:line="280" w:lineRule="auto"/>
      </w:pPr>
      <w:r>
        <w:rPr>
          <w:rFonts w:ascii="Calibri" w:hAnsi="Calibri"/>
          <w:b w:val="0"/>
          <w:i w:val="0"/>
          <w:color w:val="24313D"/>
          <w:sz w:val="21"/>
        </w:rPr>
        <w:t>These intervals show uncertainty around the controlled guidance contrasts. Each comparison uses paired labels for the same tasks.</w:t>
      </w:r>
    </w:p>
    <w:p>
      <w:pPr>
        <w:pStyle w:val="Heading2"/>
      </w:pPr>
      <w:r>
        <w:rPr>
          <w:rFonts w:ascii="Calibri" w:hAnsi="Calibri"/>
          <w:b/>
          <w:i w:val="0"/>
          <w:color w:val="2E74B5"/>
          <w:sz w:val="26"/>
        </w:rPr>
        <w:t>Slide 25</w:t>
      </w:r>
    </w:p>
    <w:p>
      <w:pPr>
        <w:spacing w:after="140" w:line="280" w:lineRule="auto"/>
      </w:pPr>
      <w:r>
        <w:rPr>
          <w:rFonts w:ascii="Calibri" w:hAnsi="Calibri"/>
          <w:b w:val="0"/>
          <w:i w:val="0"/>
          <w:color w:val="24313D"/>
          <w:sz w:val="21"/>
        </w:rPr>
        <w:t>This confirms the interaction: the LLM-version effect is much larger under historical guidance than under current proof-of-concept guidance.</w:t>
      </w:r>
    </w:p>
    <w:p>
      <w:pPr>
        <w:pStyle w:val="Heading2"/>
      </w:pPr>
      <w:r>
        <w:rPr>
          <w:rFonts w:ascii="Calibri" w:hAnsi="Calibri"/>
          <w:b/>
          <w:i w:val="0"/>
          <w:color w:val="2E74B5"/>
          <w:sz w:val="26"/>
        </w:rPr>
        <w:t>Slide 26</w:t>
      </w:r>
    </w:p>
    <w:p>
      <w:pPr>
        <w:spacing w:after="140" w:line="280" w:lineRule="auto"/>
      </w:pPr>
      <w:r>
        <w:rPr>
          <w:rFonts w:ascii="Calibri" w:hAnsi="Calibri"/>
          <w:b w:val="0"/>
          <w:i w:val="0"/>
          <w:color w:val="24313D"/>
          <w:sz w:val="21"/>
        </w:rPr>
        <w:t>For task format, children were linked to parents and each parent was given equal weight. We did not simply take the lowest or highest child label.</w:t>
      </w:r>
    </w:p>
    <w:p>
      <w:pPr>
        <w:pStyle w:val="Heading2"/>
      </w:pPr>
      <w:r>
        <w:rPr>
          <w:rFonts w:ascii="Calibri" w:hAnsi="Calibri"/>
          <w:b/>
          <w:i w:val="0"/>
          <w:color w:val="2E74B5"/>
          <w:sz w:val="26"/>
        </w:rPr>
        <w:t>Slide 27</w:t>
      </w:r>
    </w:p>
    <w:p>
      <w:pPr>
        <w:spacing w:after="140" w:line="280" w:lineRule="auto"/>
      </w:pPr>
      <w:r>
        <w:rPr>
          <w:rFonts w:ascii="Calibri" w:hAnsi="Calibri"/>
          <w:b w:val="0"/>
          <w:i w:val="0"/>
          <w:color w:val="24313D"/>
          <w:sz w:val="21"/>
        </w:rPr>
        <w:t>The sample was selected before scoring without label stratification. Runs were complete, targets were excluded from prompts, and duplicate-call checks were passed.</w:t>
      </w:r>
    </w:p>
    <w:p>
      <w:pPr>
        <w:pStyle w:val="Heading2"/>
      </w:pPr>
      <w:r>
        <w:rPr>
          <w:rFonts w:ascii="Calibri" w:hAnsi="Calibri"/>
          <w:b/>
          <w:i w:val="0"/>
          <w:color w:val="2E74B5"/>
          <w:sz w:val="26"/>
        </w:rPr>
        <w:t>Slide 28</w:t>
      </w:r>
    </w:p>
    <w:p>
      <w:pPr>
        <w:spacing w:after="140" w:line="280" w:lineRule="auto"/>
      </w:pPr>
      <w:r>
        <w:rPr>
          <w:rFonts w:ascii="Calibri" w:hAnsi="Calibri"/>
          <w:b w:val="0"/>
          <w:i w:val="0"/>
          <w:color w:val="24313D"/>
          <w:sz w:val="21"/>
        </w:rPr>
        <w:t>This is the plain-language prompt comparison. The only addition between current proof-of-concept guidance and the third condition is the five historical examples.</w:t>
      </w:r>
    </w:p>
    <w:p>
      <w:pPr>
        <w:pStyle w:val="Heading2"/>
      </w:pPr>
      <w:r>
        <w:rPr>
          <w:rFonts w:ascii="Calibri" w:hAnsi="Calibri"/>
          <w:b/>
          <w:i w:val="0"/>
          <w:color w:val="2E74B5"/>
          <w:sz w:val="26"/>
        </w:rPr>
        <w:t>Slide 29</w:t>
      </w:r>
    </w:p>
    <w:p>
      <w:pPr>
        <w:spacing w:after="140" w:line="280" w:lineRule="auto"/>
      </w:pPr>
      <w:r>
        <w:rPr>
          <w:rFonts w:ascii="Calibri" w:hAnsi="Calibri"/>
          <w:b w:val="0"/>
          <w:i w:val="0"/>
          <w:color w:val="24313D"/>
          <w:sz w:val="21"/>
        </w:rPr>
        <w:t>The two existing classifiers should not be treated as a leaderboard because they learn different label policies under different evaluation designs.</w:t>
      </w:r>
    </w:p>
    <w:p>
      <w:pPr>
        <w:pStyle w:val="Heading2"/>
      </w:pPr>
      <w:r>
        <w:rPr>
          <w:rFonts w:ascii="Calibri" w:hAnsi="Calibri"/>
          <w:b/>
          <w:i w:val="0"/>
          <w:color w:val="2E74B5"/>
          <w:sz w:val="26"/>
        </w:rPr>
        <w:t>Slide 30</w:t>
      </w:r>
    </w:p>
    <w:p>
      <w:pPr>
        <w:spacing w:after="140" w:line="280" w:lineRule="auto"/>
      </w:pPr>
      <w:r>
        <w:rPr>
          <w:rFonts w:ascii="Calibri" w:hAnsi="Calibri"/>
          <w:b w:val="0"/>
          <w:i w:val="0"/>
          <w:color w:val="24313D"/>
          <w:sz w:val="21"/>
        </w:rPr>
        <w:t>The study supports a governed method choice. It does not establish an independently adjudicated national truth about AI impact.</w:t>
      </w:r>
    </w:p>
    <w:p>
      <w:pPr>
        <w:pStyle w:val="Heading2"/>
      </w:pPr>
      <w:r>
        <w:rPr>
          <w:rFonts w:ascii="Calibri" w:hAnsi="Calibri"/>
          <w:b/>
          <w:i w:val="0"/>
          <w:color w:val="2E74B5"/>
          <w:sz w:val="26"/>
        </w:rPr>
        <w:t>Slide 31</w:t>
      </w:r>
    </w:p>
    <w:p>
      <w:pPr>
        <w:spacing w:after="140" w:line="280" w:lineRule="auto"/>
      </w:pPr>
      <w:r>
        <w:rPr>
          <w:rFonts w:ascii="Calibri" w:hAnsi="Calibri"/>
          <w:b w:val="0"/>
          <w:i w:val="0"/>
          <w:color w:val="24313D"/>
          <w:sz w:val="21"/>
        </w:rPr>
        <w:t>This is the recovered historical dashboard guidance, shown verbatim for auditability.</w:t>
      </w:r>
    </w:p>
    <w:p>
      <w:pPr>
        <w:pStyle w:val="Heading2"/>
      </w:pPr>
      <w:r>
        <w:rPr>
          <w:rFonts w:ascii="Calibri" w:hAnsi="Calibri"/>
          <w:b/>
          <w:i w:val="0"/>
          <w:color w:val="2E74B5"/>
          <w:sz w:val="26"/>
        </w:rPr>
        <w:t>Slide 32</w:t>
      </w:r>
    </w:p>
    <w:p>
      <w:pPr>
        <w:spacing w:after="140" w:line="280" w:lineRule="auto"/>
      </w:pPr>
      <w:r>
        <w:rPr>
          <w:rFonts w:ascii="Calibri" w:hAnsi="Calibri"/>
          <w:b w:val="0"/>
          <w:i w:val="0"/>
          <w:color w:val="24313D"/>
          <w:sz w:val="21"/>
        </w:rPr>
        <w:t>This is the current proof-of-concept guidance, shown verbatim for auditability.</w:t>
      </w:r>
    </w:p>
    <w:p>
      <w:pPr>
        <w:pStyle w:val="Heading2"/>
      </w:pPr>
      <w:r>
        <w:rPr>
          <w:rFonts w:ascii="Calibri" w:hAnsi="Calibri"/>
          <w:b/>
          <w:i w:val="0"/>
          <w:color w:val="2E74B5"/>
          <w:sz w:val="26"/>
        </w:rPr>
        <w:t>Slide 33</w:t>
      </w:r>
    </w:p>
    <w:p>
      <w:pPr>
        <w:spacing w:after="140" w:line="280" w:lineRule="auto"/>
      </w:pPr>
      <w:r>
        <w:rPr>
          <w:rFonts w:ascii="Calibri" w:hAnsi="Calibri"/>
          <w:b w:val="0"/>
          <w:i w:val="0"/>
          <w:color w:val="24313D"/>
          <w:sz w:val="21"/>
        </w:rPr>
        <w:t>This is the current proof-of-concept guidance with the five historical examples added, shown verbatim for auditability.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27D"/>
        <w:sz w:val="16"/>
      </w:rPr>
      <w:t xml:space="preserve">AI Impact Scoring | Word-for-word 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0" w:lineRule="auto"/>
    </w:pPr>
    <w:rPr>
      <w:rFonts w:ascii="Calibri" w:hAnsi="Calibri"/>
      <w:color w:val="243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