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CHÍNH PHỦ</w:t>
            </w:r>
          </w:p>
          <w:p>
            <w:pPr>
              <w:spacing w:after="120" w:before="80"/>
              <w:jc w:val="center"/>
            </w:pPr>
            <w:r>
              <w:rPr>
                <w:rFonts w:ascii="Times New Roman" w:cs="Times New Roman" w:eastAsia="Times New Roman" w:hAnsi="Times New Roman"/>
                <w:sz w:val="24"/>
                <w:szCs w:val="24"/>
              </w:rPr>
              <w:t xml:space="preserve">Số: 123/2020/NĐ-CP</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19/10/2020</w:t>
            </w:r>
          </w:p>
        </w:tc>
      </w:tr>
    </w:tbl>
    <w:p>
      <w:pPr>
        <w:spacing w:after="240" w:before="360"/>
        <w:jc w:val="center"/>
      </w:pPr>
      <w:r>
        <w:rPr>
          <w:rFonts w:ascii="Times New Roman" w:cs="Times New Roman" w:eastAsia="Times New Roman" w:hAnsi="Times New Roman"/>
          <w:b/>
          <w:bCs/>
          <w:sz w:val="28"/>
          <w:szCs w:val="28"/>
        </w:rPr>
        <w:t xml:space="preserve">NGHỊ ĐỊNH 123/2020/NĐ-CP QUY ĐỊNH VỀ HÓA ĐƠN, CHỨNG TỪ</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123/2020/NĐ-CP</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2020-10-19</w:t>
      </w:r>
    </w:p>
    <w:p>
      <w:pPr>
        <w:spacing w:after="60" w:before="60" w:line="300"/>
        <w:ind w:firstLine="400"/>
        <w:jc w:val="both"/>
      </w:pPr>
      <w:r>
        <w:rPr>
          <w:rFonts w:ascii="Times New Roman" w:cs="Times New Roman" w:eastAsia="Times New Roman" w:hAnsi="Times New Roman"/>
          <w:sz w:val="26"/>
          <w:szCs w:val="26"/>
        </w:rPr>
        <w:t xml:space="preserve">NGHỊ ĐỊNH 123/2020/NĐ-CP QUY ĐỊNH VỀ HÓA ĐƠN, CHỨNG TỪ</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Nghị định này quy định việc quản lý, sử dụng hóa đơn khi bán hàng hóa, cung cấp dịch vụ; việc quản lý, sử dụng chứng từ khi thực hiện các thủ tục về thuế, thu phí, lệ phí và quy định nhiệm vụ, quyền hạn và trách nhiệm của cơ quan, tổ chức, cá nhân trong việc quản lý, sử dụng hóa đơn, chứng từ.</w:t>
      </w:r>
    </w:p>
    <w:p>
      <w:pPr>
        <w:spacing w:after="100" w:before="200"/>
      </w:pPr>
      <w:r>
        <w:rPr>
          <w:rFonts w:ascii="Times New Roman" w:cs="Times New Roman" w:eastAsia="Times New Roman" w:hAnsi="Times New Roman"/>
          <w:b/>
          <w:bCs/>
          <w:sz w:val="26"/>
          <w:szCs w:val="26"/>
        </w:rPr>
        <w:t xml:space="preserve">Điều 4. Nguyên tắc lập, quản lý, sử dụng hóa đơn, chứng từ</w:t>
      </w:r>
    </w:p>
    <w:p>
      <w:pPr>
        <w:spacing w:after="60" w:before="60" w:line="300"/>
        <w:ind w:firstLine="400"/>
        <w:jc w:val="both"/>
      </w:pPr>
      <w:r>
        <w:rPr>
          <w:rFonts w:ascii="Times New Roman" w:cs="Times New Roman" w:eastAsia="Times New Roman" w:hAnsi="Times New Roman"/>
          <w:sz w:val="26"/>
          <w:szCs w:val="26"/>
        </w:rPr>
        <w:t xml:space="preserve">1. Khi bán hàng hóa, cung cấp dịch vụ, người bán phải lập hóa đơn để giao cho người mua (bao gồm cả các trường hợp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hóa dưới các hình thức cho vay, cho mượn hoặc hoàn trả hàng hóa) và phải ghi đầy đủ nội dung theo quy định tại Điều 10 Nghị định này, trường hợp sử dụng hóa đơn điện tử thì phải theo định dạng chuẩn dữ liệu của cơ quan thuế theo quy định tại Điều 12 Nghị định này.</w:t>
      </w:r>
    </w:p>
    <w:p>
      <w:pPr>
        <w:spacing w:after="60" w:before="60" w:line="300"/>
        <w:ind w:firstLine="400"/>
        <w:jc w:val="both"/>
      </w:pPr>
      <w:r>
        <w:rPr>
          <w:rFonts w:ascii="Times New Roman" w:cs="Times New Roman" w:eastAsia="Times New Roman" w:hAnsi="Times New Roman"/>
          <w:sz w:val="26"/>
          <w:szCs w:val="26"/>
        </w:rPr>
        <w:t xml:space="preserve">2. Khi thu phí, lệ phí, tổ chức thu phí, lệ phí phải lập biên lai giao cho người nộp phí, lệ phí theo quy định tại Điều 30 Nghị định này; trường hợp sử dụng biên lai điện tử thì phải theo định dạng chuẩn dữ liệu của cơ quan thuế.</w:t>
      </w:r>
    </w:p>
    <w:p>
      <w:pPr>
        <w:spacing w:after="60" w:before="60" w:line="300"/>
        <w:ind w:firstLine="400"/>
        <w:jc w:val="both"/>
      </w:pPr>
      <w:r>
        <w:rPr>
          <w:rFonts w:ascii="Times New Roman" w:cs="Times New Roman" w:eastAsia="Times New Roman" w:hAnsi="Times New Roman"/>
          <w:sz w:val="26"/>
          <w:szCs w:val="26"/>
        </w:rPr>
        <w:t xml:space="preserve">3. Khi khấu trừ thuế thu nhập cá nhân, khi thu thuế, phí, lệ phí, tổ chức khấu trừ thuế, tổ chức thu thuế, phí, lệ phí phải lập chứng từ khấu trừ thuế, biên lai thu thuế, phí, lệ phí giao cho người có thu nhập bị khấu trừ thuế, người nộp thuế, nộp phí, lệ phí và phải ghi đầy đủ các nội dung theo quy định tại Điều 32 Nghị định này.</w:t>
      </w:r>
    </w:p>
    <w:p>
      <w:pPr>
        <w:spacing w:after="100" w:before="200"/>
      </w:pPr>
      <w:r>
        <w:rPr>
          <w:rFonts w:ascii="Times New Roman" w:cs="Times New Roman" w:eastAsia="Times New Roman" w:hAnsi="Times New Roman"/>
          <w:b/>
          <w:bCs/>
          <w:sz w:val="26"/>
          <w:szCs w:val="26"/>
        </w:rPr>
        <w:t xml:space="preserve">Điều 9. Thời điểm lập hóa đơn</w:t>
      </w:r>
    </w:p>
    <w:p>
      <w:pPr>
        <w:spacing w:after="60" w:before="60" w:line="300"/>
        <w:ind w:firstLine="400"/>
        <w:jc w:val="both"/>
      </w:pPr>
      <w:r>
        <w:rPr>
          <w:rFonts w:ascii="Times New Roman" w:cs="Times New Roman" w:eastAsia="Times New Roman" w:hAnsi="Times New Roman"/>
          <w:sz w:val="26"/>
          <w:szCs w:val="26"/>
        </w:rPr>
        <w:t xml:space="preserve">1. Thời điểm lập hóa đơn đối với bán hàng hóa (bao gồm cả bán tài sản nhà nước, tài sản tịch thu, sung quỹ nhà nước và bán hàng dự trữ quốc gia) là thời điểm chuyển giao quyền sở hữu hoặc quyền sử dụng hàng hóa cho người mua, không phân biệt đã thu được tiền hay chưa thu được tiền.</w:t>
      </w:r>
    </w:p>
    <w:p>
      <w:pPr>
        <w:spacing w:after="60" w:before="60" w:line="300"/>
        <w:ind w:firstLine="400"/>
        <w:jc w:val="both"/>
      </w:pPr>
      <w:r>
        <w:rPr>
          <w:rFonts w:ascii="Times New Roman" w:cs="Times New Roman" w:eastAsia="Times New Roman" w:hAnsi="Times New Roman"/>
          <w:sz w:val="26"/>
          <w:szCs w:val="26"/>
        </w:rPr>
        <w:t xml:space="preserve">2. Thời điểm lập hóa đơn đối với cung cấp dịch vụ là thời điểm hoàn thành việc cung cấp dịch vụ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 hoặc tạm ứng để đảm bảo thực hiện hợp đồng cung cấp các dịch vụ: kế toán, kiểm toán, tư vấn tài chính, thuế; thẩm định giá; khảo sát, thiết kế kỹ thuật; tư vấn giám sát; lập dự án đầu tư xây dựng).</w:t>
      </w:r>
    </w:p>
    <w:p>
      <w:pPr>
        <w:spacing w:after="60" w:before="60" w:line="300"/>
        <w:ind w:firstLine="400"/>
        <w:jc w:val="both"/>
      </w:pPr>
      <w:r>
        <w:rPr>
          <w:rFonts w:ascii="Times New Roman" w:cs="Times New Roman" w:eastAsia="Times New Roman" w:hAnsi="Times New Roman"/>
          <w:sz w:val="26"/>
          <w:szCs w:val="26"/>
        </w:rPr>
        <w:t xml:space="preserve">3. Trường hợp giao hàng nhiều lần hoặc bàn giao từng hạng mục, công đoạn dịch vụ thì mỗi lần giao hàng hoặc bàn giao đều phải lập hóa đơn cho khối lượng, giá trị hàng hóa, dịch vụ được giao tương ứng.</w:t>
      </w:r>
    </w:p>
    <w:p>
      <w:pPr>
        <w:spacing w:after="100" w:before="200"/>
      </w:pPr>
      <w:r>
        <w:rPr>
          <w:rFonts w:ascii="Times New Roman" w:cs="Times New Roman" w:eastAsia="Times New Roman" w:hAnsi="Times New Roman"/>
          <w:b/>
          <w:bCs/>
          <w:sz w:val="26"/>
          <w:szCs w:val="26"/>
        </w:rPr>
        <w:t xml:space="preserve">Điều 19. Xử lý hóa đơn có sai sót</w:t>
      </w:r>
    </w:p>
    <w:p>
      <w:pPr>
        <w:spacing w:after="60" w:before="60" w:line="300"/>
        <w:ind w:firstLine="400"/>
        <w:jc w:val="both"/>
      </w:pPr>
      <w:r>
        <w:rPr>
          <w:rFonts w:ascii="Times New Roman" w:cs="Times New Roman" w:eastAsia="Times New Roman" w:hAnsi="Times New Roman"/>
          <w:sz w:val="26"/>
          <w:szCs w:val="26"/>
        </w:rPr>
        <w:t xml:space="preserve">1. Trường hợp người bán phát hiện hóa đơn điện tử đã được cấp mã của cơ quan thuế chưa gửi cho người mua có sai sót thì người bán thực hiện thông báo với cơ quan thuế theo Mẫu số 04/SS-HĐĐT Phụ lục IA ban hành kèm theo Nghị định này về việc hủy hóa đơn điện tử có mã đã lập có sai sót và lập hóa đơn điện tử mới, ký số gửi cơ quan thuế để cấp mã hóa đơn mới thay thế hóa đơn đã lập để gửi cho người mua.</w:t>
      </w:r>
    </w:p>
    <w:p>
      <w:pPr>
        <w:spacing w:after="60" w:before="60" w:line="300"/>
        <w:ind w:firstLine="400"/>
        <w:jc w:val="both"/>
      </w:pPr>
      <w:r>
        <w:rPr>
          <w:rFonts w:ascii="Times New Roman" w:cs="Times New Roman" w:eastAsia="Times New Roman" w:hAnsi="Times New Roman"/>
          <w:sz w:val="26"/>
          <w:szCs w:val="26"/>
        </w:rPr>
        <w:t xml:space="preserve">2. Trường hợp hóa đơn điện tử có mã của cơ quan thuế hoặc hóa đơn điện tử không có mã của cơ quan thuế đã gửi cho người mua mà người mua hoặc người bán phát hiện có sai sót thì xử lý như sau:</w:t>
      </w:r>
    </w:p>
    <w:p>
      <w:pPr>
        <w:spacing w:after="60" w:before="60" w:line="300"/>
        <w:ind w:firstLine="400"/>
        <w:jc w:val="both"/>
      </w:pPr>
      <w:r>
        <w:rPr>
          <w:rFonts w:ascii="Times New Roman" w:cs="Times New Roman" w:eastAsia="Times New Roman" w:hAnsi="Times New Roman"/>
          <w:sz w:val="26"/>
          <w:szCs w:val="26"/>
        </w:rPr>
        <w:t xml:space="preserve">a) Trường hợp sai sót về tên, địa chỉ của người mua nhưng không sai mã số thuế, các nội dung khác không sai sót thì người bán thông báo cho người mua về việc hóa đơn có sai sót và không phải lập lại hóa đơn. Người bán thực hiện thông báo với cơ quan thuế về hóa đơn điện tử có sai sót theo Mẫu số 04/SS-HĐĐT Phụ lục IA ban hành kèm theo Nghị định này, trừ trường hợp hóa đơn điện tử không có mã của cơ quan thuế có sai sót nêu trên chưa gửi dữ liệu hóa đơn cho cơ quan thuế;</w:t>
      </w:r>
    </w:p>
    <w:p>
      <w:pPr>
        <w:spacing w:after="60" w:before="60" w:line="300"/>
        <w:ind w:firstLine="400"/>
        <w:jc w:val="both"/>
      </w:pPr>
      <w:r>
        <w:rPr>
          <w:rFonts w:ascii="Times New Roman" w:cs="Times New Roman" w:eastAsia="Times New Roman" w:hAnsi="Times New Roman"/>
          <w:sz w:val="26"/>
          <w:szCs w:val="26"/>
        </w:rPr>
        <w:t xml:space="preserve">b) Trường hợp có sai: mã số thuế; sai sót về số tiền ghi trên hóa đơn, sai về thuế suất, tiền thuế hoặc hàng hóa ghi trên hóa đơn không đúng quy cách, chất lượng thì có thể lựa chọn một trong hai cách sử dụng hóa đơn điện tử như sau:</w:t>
      </w:r>
    </w:p>
    <w:p>
      <w:pPr>
        <w:spacing w:after="60" w:before="60" w:line="300"/>
        <w:ind w:firstLine="400"/>
        <w:jc w:val="both"/>
      </w:pPr>
      <w:r>
        <w:rPr>
          <w:rFonts w:ascii="Times New Roman" w:cs="Times New Roman" w:eastAsia="Times New Roman" w:hAnsi="Times New Roman"/>
          <w:sz w:val="26"/>
          <w:szCs w:val="26"/>
        </w:rPr>
        <w:t xml:space="preserve">b1) Người bán lập hóa đơn điện tử điều chỉnh hóa đơn đã lập có sai sót;</w:t>
      </w:r>
    </w:p>
    <w:p>
      <w:pPr>
        <w:spacing w:after="60" w:before="60" w:line="300"/>
        <w:ind w:firstLine="400"/>
        <w:jc w:val="both"/>
      </w:pPr>
      <w:r>
        <w:rPr>
          <w:rFonts w:ascii="Times New Roman" w:cs="Times New Roman" w:eastAsia="Times New Roman" w:hAnsi="Times New Roman"/>
          <w:sz w:val="26"/>
          <w:szCs w:val="26"/>
        </w:rPr>
        <w:t xml:space="preserve">b2) Người bán lập hóa đơn điện tử mới thay thế cho hóa đơn điện tử có sai sót.</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Xuân Phúc</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2026-08-31T14:55:13.497Z</dcterms:created>
  <dcterms:modified xsi:type="dcterms:W3CDTF">2026-08-31T14:55:13.497Z</dcterms:modified>
</cp:coreProperties>
</file>

<file path=docProps/custom.xml><?xml version="1.0" encoding="utf-8"?>
<Properties xmlns="http://schemas.openxmlformats.org/officeDocument/2006/custom-properties" xmlns:vt="http://schemas.openxmlformats.org/officeDocument/2006/docPropsVTypes"/>
</file>