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left w:val="none"/>
          <w:bottom w:val="none"/>
          <w:right w:val="none"/>
          <w:insideH w:val="none"/>
          <w:insideV w:val="none"/>
        </w:tblBorders>
      </w:tblPr>
      <w:tblGrid>
        <w:gridCol w:w="100"/>
        <w:gridCol w:w="100"/>
      </w:tblGrid>
      <w:tr>
        <w:tc>
          <w:tcPr>
            <w:tcW w:type="pct" w:w="45%"/>
          </w:tcPr>
          <w:p>
            <w:pPr>
              <w:jc w:val="center"/>
            </w:pPr>
            <w:r>
              <w:rPr>
                <w:rFonts w:ascii="Times New Roman" w:cs="Times New Roman" w:eastAsia="Times New Roman" w:hAnsi="Times New Roman"/>
                <w:b/>
                <w:bCs/>
                <w:sz w:val="24"/>
                <w:szCs w:val="24"/>
              </w:rPr>
              <w:t xml:space="preserve">BỘ TÀI CHÍNH</w:t>
            </w:r>
          </w:p>
          <w:p>
            <w:pPr>
              <w:spacing w:after="120" w:before="80"/>
              <w:jc w:val="center"/>
            </w:pPr>
            <w:r>
              <w:rPr>
                <w:rFonts w:ascii="Times New Roman" w:cs="Times New Roman" w:eastAsia="Times New Roman" w:hAnsi="Times New Roman"/>
                <w:sz w:val="24"/>
                <w:szCs w:val="24"/>
              </w:rPr>
              <w:t xml:space="preserve">Số: 111/2013/TT-BTC</w:t>
            </w:r>
          </w:p>
        </w:tc>
        <w:tc>
          <w:tcPr>
            <w:tcW w:type="pct" w:w="55%"/>
          </w:tcPr>
          <w:p>
            <w:pPr>
              <w:jc w:val="center"/>
            </w:pPr>
            <w:r>
              <w:rPr>
                <w:rFonts w:ascii="Times New Roman" w:cs="Times New Roman" w:eastAsia="Times New Roman" w:hAnsi="Times New Roman"/>
                <w:b/>
                <w:bCs/>
                <w:sz w:val="24"/>
                <w:szCs w:val="24"/>
              </w:rPr>
              <w:t xml:space="preserve">CỘNG HÒA XÃ HỘI CHỦ NGHĨA VIỆT NAM</w:t>
            </w:r>
          </w:p>
          <w:p>
            <w:pPr>
              <w:spacing w:after="120" w:before="40"/>
              <w:jc w:val="center"/>
            </w:pPr>
            <w:r>
              <w:rPr>
                <w:rFonts w:ascii="Times New Roman" w:cs="Times New Roman" w:eastAsia="Times New Roman" w:hAnsi="Times New Roman"/>
                <w:b/>
                <w:bCs/>
                <w:sz w:val="26"/>
                <w:szCs w:val="26"/>
                <w:u w:val="single"/>
              </w:rPr>
              <w:t xml:space="preserve">Độc lập - Tự do - Hạnh phúc</w:t>
            </w:r>
          </w:p>
          <w:p>
            <w:pPr>
              <w:jc w:val="right"/>
            </w:pPr>
            <w:r>
              <w:rPr>
                <w:rFonts w:ascii="Times New Roman" w:cs="Times New Roman" w:eastAsia="Times New Roman" w:hAnsi="Times New Roman"/>
                <w:i/>
                <w:iCs/>
                <w:sz w:val="22"/>
                <w:szCs w:val="22"/>
              </w:rPr>
              <w:t xml:space="preserve">Ngày ban hành: 15/08/2013</w:t>
            </w:r>
          </w:p>
        </w:tc>
      </w:tr>
    </w:tbl>
    <w:p>
      <w:pPr>
        <w:spacing w:after="240" w:before="360"/>
        <w:jc w:val="center"/>
      </w:pPr>
      <w:r>
        <w:rPr>
          <w:rFonts w:ascii="Times New Roman" w:cs="Times New Roman" w:eastAsia="Times New Roman" w:hAnsi="Times New Roman"/>
          <w:b/>
          <w:bCs/>
          <w:sz w:val="28"/>
          <w:szCs w:val="28"/>
        </w:rPr>
        <w:t xml:space="preserve">THÔNG TƯ 111/2013/TT-BTC HƯỚNG DẪN THỰC HIỆN LUẬT THUẾ THU NHẬP CÁ NHÂN</w:t>
      </w:r>
    </w:p>
    <w:p>
      <w:pPr>
        <w:spacing w:after="60" w:before="60" w:line="300"/>
        <w:ind w:firstLine="400"/>
        <w:jc w:val="both"/>
      </w:pPr>
      <w:r>
        <w:rPr>
          <w:rFonts w:ascii="Times New Roman" w:cs="Times New Roman" w:eastAsia="Times New Roman" w:hAnsi="Times New Roman"/>
          <w:sz w:val="26"/>
          <w:szCs w:val="26"/>
        </w:rPr>
        <w:t xml:space="preserve">BỘ TÀI CHÍNH</w:t>
      </w:r>
    </w:p>
    <w:p>
      <w:pPr>
        <w:spacing w:after="60" w:before="60" w:line="300"/>
        <w:ind w:firstLine="400"/>
        <w:jc w:val="both"/>
      </w:pPr>
      <w:r>
        <w:rPr>
          <w:rFonts w:ascii="Times New Roman" w:cs="Times New Roman" w:eastAsia="Times New Roman" w:hAnsi="Times New Roman"/>
          <w:sz w:val="26"/>
          <w:szCs w:val="26"/>
        </w:rPr>
        <w:t xml:space="preserve">_______</w:t>
      </w:r>
    </w:p>
    <w:p>
      <w:pPr>
        <w:spacing w:after="60" w:before="60" w:line="300"/>
        <w:ind w:firstLine="400"/>
        <w:jc w:val="both"/>
      </w:pPr>
      <w:r>
        <w:rPr>
          <w:rFonts w:ascii="Times New Roman" w:cs="Times New Roman" w:eastAsia="Times New Roman" w:hAnsi="Times New Roman"/>
          <w:sz w:val="26"/>
          <w:szCs w:val="26"/>
        </w:rPr>
        <w:t xml:space="preserve">Số: 111/2013/TT-BTC</w:t>
      </w:r>
    </w:p>
    <w:p>
      <w:pPr>
        <w:spacing w:after="60" w:before="60" w:line="300"/>
        <w:ind w:firstLine="400"/>
        <w:jc w:val="both"/>
      </w:pPr>
      <w:r>
        <w:rPr>
          <w:rFonts w:ascii="Times New Roman" w:cs="Times New Roman" w:eastAsia="Times New Roman" w:hAnsi="Times New Roman"/>
          <w:sz w:val="26"/>
          <w:szCs w:val="26"/>
        </w:rPr>
        <w:t xml:space="preserve">CỘNG HÒA XÃ HỘI CHỦ NGHĨA VIỆT NAM</w:t>
      </w:r>
    </w:p>
    <w:p>
      <w:pPr>
        <w:spacing w:after="60" w:before="60" w:line="300"/>
        <w:ind w:firstLine="400"/>
        <w:jc w:val="both"/>
      </w:pPr>
      <w:r>
        <w:rPr>
          <w:rFonts w:ascii="Times New Roman" w:cs="Times New Roman" w:eastAsia="Times New Roman" w:hAnsi="Times New Roman"/>
          <w:sz w:val="26"/>
          <w:szCs w:val="26"/>
        </w:rPr>
        <w:t xml:space="preserve">Độc lập - Tự do - Hạnh phúc</w:t>
      </w:r>
    </w:p>
    <w:p>
      <w:pPr>
        <w:spacing w:after="60" w:before="60" w:line="300"/>
        <w:ind w:firstLine="400"/>
        <w:jc w:val="both"/>
      </w:pPr>
      <w:r>
        <w:rPr>
          <w:rFonts w:ascii="Times New Roman" w:cs="Times New Roman" w:eastAsia="Times New Roman" w:hAnsi="Times New Roman"/>
          <w:sz w:val="26"/>
          <w:szCs w:val="26"/>
        </w:rPr>
        <w:t xml:space="preserve">__________________________</w:t>
      </w:r>
    </w:p>
    <w:p>
      <w:pPr>
        <w:spacing w:after="60" w:before="60" w:line="300"/>
        <w:ind w:firstLine="400"/>
        <w:jc w:val="both"/>
      </w:pPr>
      <w:r>
        <w:rPr>
          <w:rFonts w:ascii="Times New Roman" w:cs="Times New Roman" w:eastAsia="Times New Roman" w:hAnsi="Times New Roman"/>
          <w:sz w:val="26"/>
          <w:szCs w:val="26"/>
        </w:rPr>
        <w:t xml:space="preserve">Hà Nội, ngày 2013-08-15</w:t>
      </w:r>
    </w:p>
    <w:p>
      <w:pPr>
        <w:spacing w:after="60" w:before="60" w:line="300"/>
        <w:ind w:firstLine="400"/>
        <w:jc w:val="both"/>
      </w:pPr>
      <w:r>
        <w:rPr>
          <w:rFonts w:ascii="Times New Roman" w:cs="Times New Roman" w:eastAsia="Times New Roman" w:hAnsi="Times New Roman"/>
          <w:sz w:val="26"/>
          <w:szCs w:val="26"/>
        </w:rPr>
        <w:t xml:space="preserve">THÔNG TƯ 111/2013/TT-BTC HƯỚNG DẪN THỰC HIỆN LUẬT THUẾ THU NHẬP CÁ NHÂN</w:t>
      </w:r>
    </w:p>
    <w:p>
      <w:pPr>
        <w:spacing w:after="100" w:before="200"/>
      </w:pPr>
      <w:r>
        <w:rPr>
          <w:rFonts w:ascii="Times New Roman" w:cs="Times New Roman" w:eastAsia="Times New Roman" w:hAnsi="Times New Roman"/>
          <w:b/>
          <w:bCs/>
          <w:sz w:val="26"/>
          <w:szCs w:val="26"/>
        </w:rPr>
        <w:t xml:space="preserve">Điều 1. Người nộp thuế</w:t>
      </w:r>
    </w:p>
    <w:p>
      <w:pPr>
        <w:spacing w:after="60" w:before="60" w:line="300"/>
        <w:ind w:firstLine="400"/>
        <w:jc w:val="both"/>
      </w:pPr>
      <w:r>
        <w:rPr>
          <w:rFonts w:ascii="Times New Roman" w:cs="Times New Roman" w:eastAsia="Times New Roman" w:hAnsi="Times New Roman"/>
          <w:sz w:val="26"/>
          <w:szCs w:val="26"/>
        </w:rPr>
        <w:t xml:space="preserve">Người nộp thuế là cá nhân cư trú và cá nhân không cư trú theo quy định tại Điều 2 Luật Thuế thu nhập cá nhân, Điều 2 Nghị định số 65/2013/NĐ-CP ngày 27/6/2013 của Chính phủ quy định chi tiết một số điều của Luật Thuế thu nhập cá nhân và Luật sửa đổi, bổ sung một số điều của Luật Thuế thu nhập cá nhân, có thu nhập chịu thuế.</w:t>
      </w:r>
    </w:p>
    <w:p>
      <w:pPr>
        <w:spacing w:after="100" w:before="200"/>
      </w:pPr>
      <w:r>
        <w:rPr>
          <w:rFonts w:ascii="Times New Roman" w:cs="Times New Roman" w:eastAsia="Times New Roman" w:hAnsi="Times New Roman"/>
          <w:b/>
          <w:bCs/>
          <w:sz w:val="26"/>
          <w:szCs w:val="26"/>
        </w:rPr>
        <w:t xml:space="preserve">Điều 2. Các khoản thu nhập chịu thuế</w:t>
      </w:r>
    </w:p>
    <w:p>
      <w:pPr>
        <w:spacing w:after="60" w:before="60" w:line="300"/>
        <w:ind w:firstLine="400"/>
        <w:jc w:val="both"/>
      </w:pPr>
      <w:r>
        <w:rPr>
          <w:rFonts w:ascii="Times New Roman" w:cs="Times New Roman" w:eastAsia="Times New Roman" w:hAnsi="Times New Roman"/>
          <w:sz w:val="26"/>
          <w:szCs w:val="26"/>
        </w:rPr>
        <w:t xml:space="preserve">Theo quy định tại Điều 3 Luật Thuế thu nhập cá nhân và Điều 3 Nghị định số 65/2013/NĐ-CP, các khoản thu nhập chịu thuế thu nhập cá nhân bao gồm:</w:t>
      </w:r>
    </w:p>
    <w:p>
      <w:pPr>
        <w:spacing w:after="60" w:before="60" w:line="300"/>
        <w:ind w:firstLine="400"/>
        <w:jc w:val="both"/>
      </w:pPr>
      <w:r>
        <w:rPr>
          <w:rFonts w:ascii="Times New Roman" w:cs="Times New Roman" w:eastAsia="Times New Roman" w:hAnsi="Times New Roman"/>
          <w:sz w:val="26"/>
          <w:szCs w:val="26"/>
        </w:rPr>
        <w:t xml:space="preserve">1. Thu nhập từ kinh doanh.</w:t>
      </w:r>
    </w:p>
    <w:p>
      <w:pPr>
        <w:spacing w:after="60" w:before="60" w:line="300"/>
        <w:ind w:firstLine="400"/>
        <w:jc w:val="both"/>
      </w:pPr>
      <w:r>
        <w:rPr>
          <w:rFonts w:ascii="Times New Roman" w:cs="Times New Roman" w:eastAsia="Times New Roman" w:hAnsi="Times New Roman"/>
          <w:sz w:val="26"/>
          <w:szCs w:val="26"/>
        </w:rPr>
        <w:t xml:space="preserve">2. Thu nhập từ tiền lương, tiền công (bao gồm tiền lương, tiền công và các khoản có tính chất tiền lương, tiền công dưới các hình thức bằng tiền hoặc không bằng tiền; các khoản phụ cấp, trợ cấp, trừ các khoản phụ cấp trợ cấp theo quy định).</w:t>
      </w:r>
    </w:p>
    <w:p>
      <w:pPr>
        <w:spacing w:after="60" w:before="60" w:line="300"/>
        <w:ind w:firstLine="400"/>
        <w:jc w:val="both"/>
      </w:pPr>
      <w:r>
        <w:rPr>
          <w:rFonts w:ascii="Times New Roman" w:cs="Times New Roman" w:eastAsia="Times New Roman" w:hAnsi="Times New Roman"/>
          <w:sz w:val="26"/>
          <w:szCs w:val="26"/>
        </w:rPr>
        <w:t xml:space="preserve">3. Thu nhập từ đầu tư vốn.</w:t>
      </w:r>
    </w:p>
    <w:p>
      <w:pPr>
        <w:spacing w:after="60" w:before="60" w:line="300"/>
        <w:ind w:firstLine="400"/>
        <w:jc w:val="both"/>
      </w:pPr>
      <w:r>
        <w:rPr>
          <w:rFonts w:ascii="Times New Roman" w:cs="Times New Roman" w:eastAsia="Times New Roman" w:hAnsi="Times New Roman"/>
          <w:sz w:val="26"/>
          <w:szCs w:val="26"/>
        </w:rPr>
        <w:t xml:space="preserve">4. Thu nhập từ chuyển nhượng vốn.</w:t>
      </w:r>
    </w:p>
    <w:p>
      <w:pPr>
        <w:spacing w:after="60" w:before="60" w:line="300"/>
        <w:ind w:firstLine="400"/>
        <w:jc w:val="both"/>
      </w:pPr>
      <w:r>
        <w:rPr>
          <w:rFonts w:ascii="Times New Roman" w:cs="Times New Roman" w:eastAsia="Times New Roman" w:hAnsi="Times New Roman"/>
          <w:sz w:val="26"/>
          <w:szCs w:val="26"/>
        </w:rPr>
        <w:t xml:space="preserve">5. Thu nhập từ chuyển nhượng bất động sản.</w:t>
      </w:r>
    </w:p>
    <w:p>
      <w:pPr>
        <w:spacing w:after="60" w:before="60" w:line="300"/>
        <w:ind w:firstLine="400"/>
        <w:jc w:val="both"/>
      </w:pPr>
      <w:r>
        <w:rPr>
          <w:rFonts w:ascii="Times New Roman" w:cs="Times New Roman" w:eastAsia="Times New Roman" w:hAnsi="Times New Roman"/>
          <w:sz w:val="26"/>
          <w:szCs w:val="26"/>
        </w:rPr>
        <w:t xml:space="preserve">6. Thu nhập từ trúng thưởng.</w:t>
      </w:r>
    </w:p>
    <w:p>
      <w:pPr>
        <w:spacing w:after="60" w:before="60" w:line="300"/>
        <w:ind w:firstLine="400"/>
        <w:jc w:val="both"/>
      </w:pPr>
      <w:r>
        <w:rPr>
          <w:rFonts w:ascii="Times New Roman" w:cs="Times New Roman" w:eastAsia="Times New Roman" w:hAnsi="Times New Roman"/>
          <w:sz w:val="26"/>
          <w:szCs w:val="26"/>
        </w:rPr>
        <w:t xml:space="preserve">7. Thu nhập từ bản quyền.</w:t>
      </w:r>
    </w:p>
    <w:p>
      <w:pPr>
        <w:spacing w:after="60" w:before="60" w:line="300"/>
        <w:ind w:firstLine="400"/>
        <w:jc w:val="both"/>
      </w:pPr>
      <w:r>
        <w:rPr>
          <w:rFonts w:ascii="Times New Roman" w:cs="Times New Roman" w:eastAsia="Times New Roman" w:hAnsi="Times New Roman"/>
          <w:sz w:val="26"/>
          <w:szCs w:val="26"/>
        </w:rPr>
        <w:t xml:space="preserve">8. Thu nhập từ nhượng quyền thương mại.</w:t>
      </w:r>
    </w:p>
    <w:p>
      <w:pPr>
        <w:spacing w:after="60" w:before="60" w:line="300"/>
        <w:ind w:firstLine="400"/>
        <w:jc w:val="both"/>
      </w:pPr>
      <w:r>
        <w:rPr>
          <w:rFonts w:ascii="Times New Roman" w:cs="Times New Roman" w:eastAsia="Times New Roman" w:hAnsi="Times New Roman"/>
          <w:sz w:val="26"/>
          <w:szCs w:val="26"/>
        </w:rPr>
        <w:t xml:space="preserve">9. Thu nhập từ nhận thừa kế.</w:t>
      </w:r>
    </w:p>
    <w:p>
      <w:pPr>
        <w:spacing w:after="60" w:before="60" w:line="300"/>
        <w:ind w:firstLine="400"/>
        <w:jc w:val="both"/>
      </w:pPr>
      <w:r>
        <w:rPr>
          <w:rFonts w:ascii="Times New Roman" w:cs="Times New Roman" w:eastAsia="Times New Roman" w:hAnsi="Times New Roman"/>
          <w:sz w:val="26"/>
          <w:szCs w:val="26"/>
        </w:rPr>
        <w:t xml:space="preserve">10. Thu nhập từ nhận quà tặng.</w:t>
      </w:r>
    </w:p>
    <w:p>
      <w:pPr>
        <w:spacing w:after="100" w:before="200"/>
      </w:pPr>
      <w:r>
        <w:rPr>
          <w:rFonts w:ascii="Times New Roman" w:cs="Times New Roman" w:eastAsia="Times New Roman" w:hAnsi="Times New Roman"/>
          <w:b/>
          <w:bCs/>
          <w:sz w:val="26"/>
          <w:szCs w:val="26"/>
        </w:rPr>
        <w:t xml:space="preserve">Điều 9. Các khoản giảm trừ</w:t>
      </w:r>
    </w:p>
    <w:p>
      <w:pPr>
        <w:spacing w:after="60" w:before="60" w:line="300"/>
        <w:ind w:firstLine="400"/>
        <w:jc w:val="both"/>
      </w:pPr>
      <w:r>
        <w:rPr>
          <w:rFonts w:ascii="Times New Roman" w:cs="Times New Roman" w:eastAsia="Times New Roman" w:hAnsi="Times New Roman"/>
          <w:sz w:val="26"/>
          <w:szCs w:val="26"/>
        </w:rPr>
        <w:t xml:space="preserve">Các khoản giảm trừ theo hướng dẫn tại Điều này là các khoản được trừ vào thu nhập chịu thuế của cá nhân trước khi xác định thu nhập tính thuế từ tiền lương, tiền công:</w:t>
      </w:r>
    </w:p>
    <w:p>
      <w:pPr>
        <w:spacing w:after="60" w:before="60" w:line="300"/>
        <w:ind w:firstLine="400"/>
        <w:jc w:val="both"/>
      </w:pPr>
      <w:r>
        <w:rPr>
          <w:rFonts w:ascii="Times New Roman" w:cs="Times New Roman" w:eastAsia="Times New Roman" w:hAnsi="Times New Roman"/>
          <w:sz w:val="26"/>
          <w:szCs w:val="26"/>
        </w:rPr>
        <w:t xml:space="preserve">1. Giảm trừ gia cảnh:</w:t>
      </w:r>
    </w:p>
    <w:p>
      <w:pPr>
        <w:spacing w:after="60" w:before="60" w:line="300"/>
        <w:ind w:firstLine="400"/>
        <w:jc w:val="both"/>
      </w:pPr>
      <w:r>
        <w:rPr>
          <w:rFonts w:ascii="Times New Roman" w:cs="Times New Roman" w:eastAsia="Times New Roman" w:hAnsi="Times New Roman"/>
          <w:sz w:val="26"/>
          <w:szCs w:val="26"/>
        </w:rPr>
        <w:t xml:space="preserve">a) Giảm trừ gia cảnh là số tiền được trừ vào thu nhập chịu thuế trước khi tính thuế đối với thu nhập từ tiền lương, tiền công của người nộp thuế là cá nhân cư trú.</w:t>
      </w:r>
    </w:p>
    <w:p>
      <w:pPr>
        <w:spacing w:after="60" w:before="60" w:line="300"/>
        <w:ind w:firstLine="400"/>
        <w:jc w:val="both"/>
      </w:pPr>
      <w:r>
        <w:rPr>
          <w:rFonts w:ascii="Times New Roman" w:cs="Times New Roman" w:eastAsia="Times New Roman" w:hAnsi="Times New Roman"/>
          <w:sz w:val="26"/>
          <w:szCs w:val="26"/>
        </w:rPr>
        <w:t xml:space="preserve">b) Mức giảm trừ gia cảnh thực hiện theo quy định của Quốc hội và Ủy ban Thường vụ Quốc hội.</w:t>
      </w:r>
    </w:p>
    <w:p>
      <w:pPr>
        <w:spacing w:after="60" w:before="60" w:line="300"/>
        <w:ind w:firstLine="400"/>
        <w:jc w:val="both"/>
      </w:pPr>
      <w:r>
        <w:rPr>
          <w:rFonts w:ascii="Times New Roman" w:cs="Times New Roman" w:eastAsia="Times New Roman" w:hAnsi="Times New Roman"/>
          <w:sz w:val="26"/>
          <w:szCs w:val="26"/>
        </w:rPr>
        <w:t xml:space="preserve">2. Giảm trừ đối với các khoản đóng bảo hiểm, quỹ hưu trí tự nguyện: các khoản đóng bảo hiểm xã hội, bảo hiểm y tế, bảo hiểm thất nghiệp, bảo hiểm trách nhiệm nghề nghiệp đối với một số ngành nghề phải tham gia bảo hiểm bắt buộc.</w:t>
      </w:r>
    </w:p>
    <w:p>
      <w:pPr>
        <w:spacing w:after="60" w:before="60" w:line="300"/>
        <w:ind w:firstLine="400"/>
        <w:jc w:val="both"/>
      </w:pPr>
      <w:r>
        <w:rPr>
          <w:rFonts w:ascii="Times New Roman" w:cs="Times New Roman" w:eastAsia="Times New Roman" w:hAnsi="Times New Roman"/>
          <w:sz w:val="26"/>
          <w:szCs w:val="26"/>
        </w:rPr>
        <w:t xml:space="preserve">3. Giảm trừ đối với các khoản đóng góp từ thiện, nhân đạo, khuyến học.</w:t>
      </w:r>
    </w:p>
    <w:p>
      <w:pPr>
        <w:spacing w:after="100" w:before="200"/>
      </w:pPr>
      <w:r>
        <w:rPr>
          <w:rFonts w:ascii="Times New Roman" w:cs="Times New Roman" w:eastAsia="Times New Roman" w:hAnsi="Times New Roman"/>
          <w:b/>
          <w:bCs/>
          <w:sz w:val="26"/>
          <w:szCs w:val="26"/>
        </w:rPr>
        <w:t xml:space="preserve">Điều 25. Khấu trừ thuế và chứng từ khấu trừ thuế</w:t>
      </w:r>
    </w:p>
    <w:p>
      <w:pPr>
        <w:spacing w:after="60" w:before="60" w:line="300"/>
        <w:ind w:firstLine="400"/>
        <w:jc w:val="both"/>
      </w:pPr>
      <w:r>
        <w:rPr>
          <w:rFonts w:ascii="Times New Roman" w:cs="Times New Roman" w:eastAsia="Times New Roman" w:hAnsi="Times New Roman"/>
          <w:sz w:val="26"/>
          <w:szCs w:val="26"/>
        </w:rPr>
        <w:t xml:space="preserve">1. Khấu trừ thuế là việc tổ chức, cá nhân trả thu nhập thực hiện tính trừ số thuế phải nộp vào thu nhập của người nộp thuế trước khi trả thu nhập:</w:t>
      </w:r>
    </w:p>
    <w:p>
      <w:pPr>
        <w:spacing w:after="60" w:before="60" w:line="300"/>
        <w:ind w:firstLine="400"/>
        <w:jc w:val="both"/>
      </w:pPr>
      <w:r>
        <w:rPr>
          <w:rFonts w:ascii="Times New Roman" w:cs="Times New Roman" w:eastAsia="Times New Roman" w:hAnsi="Times New Roman"/>
          <w:sz w:val="26"/>
          <w:szCs w:val="26"/>
        </w:rPr>
        <w:t xml:space="preserve">a) Thu nhập của cá nhân không cư trú;</w:t>
      </w:r>
    </w:p>
    <w:p>
      <w:pPr>
        <w:spacing w:after="60" w:before="60" w:line="300"/>
        <w:ind w:firstLine="400"/>
        <w:jc w:val="both"/>
      </w:pPr>
      <w:r>
        <w:rPr>
          <w:rFonts w:ascii="Times New Roman" w:cs="Times New Roman" w:eastAsia="Times New Roman" w:hAnsi="Times New Roman"/>
          <w:sz w:val="26"/>
          <w:szCs w:val="26"/>
        </w:rPr>
        <w:t xml:space="preserve">b) Thu nhập từ tiền lương, tiền công đối với cá nhân cư trú ký hợp đồng lao động từ 03 tháng trở lên thì thực hiện khấu trừ thuế theo Biểu thuế lũy tiến từng phần;</w:t>
      </w:r>
    </w:p>
    <w:p>
      <w:pPr>
        <w:spacing w:after="60" w:before="60" w:line="300"/>
        <w:ind w:firstLine="400"/>
        <w:jc w:val="both"/>
      </w:pPr>
      <w:r>
        <w:rPr>
          <w:rFonts w:ascii="Times New Roman" w:cs="Times New Roman" w:eastAsia="Times New Roman" w:hAnsi="Times New Roman"/>
          <w:sz w:val="26"/>
          <w:szCs w:val="26"/>
        </w:rPr>
        <w:t xml:space="preserve">c) Các tổ chức, cá nhân trả tiền công, tiền thù lao, tiền chi khác cho cá nhân cư trú không ký hợp đồng lao động hoặc ký hợp đồng lao động dưới ba (03) tháng có tổng mức trả thu nhập từ hai triệu (2.000.000) đồng/lần trở lên thì phải khấu trừ thuế theo mức 10% trên thu nhập trước khi trả cho cá nhân.</w:t>
      </w:r>
    </w:p>
    <w:tbl>
      <w:tblPr>
        <w:tblW w:type="pct" w:w="100%"/>
        <w:tblBorders>
          <w:top w:val="none"/>
          <w:left w:val="none"/>
          <w:bottom w:val="none"/>
          <w:right w:val="none"/>
          <w:insideH w:val="none"/>
          <w:insideV w:val="none"/>
        </w:tblBorders>
      </w:tblPr>
      <w:tblGrid>
        <w:gridCol w:w="100"/>
        <w:gridCol w:w="100"/>
      </w:tblGrid>
      <w:tr>
        <w:tc>
          <w:tcPr>
            <w:tcW w:type="pct" w:w="50%"/>
          </w:tcPr>
          <w:p>
            <w:pPr>
              <w:spacing w:before="240"/>
            </w:pPr>
            <w:r>
              <w:rPr>
                <w:rFonts w:ascii="Times New Roman" w:cs="Times New Roman" w:eastAsia="Times New Roman" w:hAnsi="Times New Roman"/>
                <w:b/>
                <w:bCs/>
                <w:i/>
                <w:iCs/>
                <w:sz w:val="22"/>
                <w:szCs w:val="22"/>
              </w:rPr>
              <w:t xml:space="preserve">Nơi nhận:</w:t>
            </w:r>
          </w:p>
          <w:p>
            <w:r>
              <w:rPr>
                <w:rFonts w:ascii="Times New Roman" w:cs="Times New Roman" w:eastAsia="Times New Roman" w:hAnsi="Times New Roman"/>
                <w:sz w:val="20"/>
                <w:szCs w:val="20"/>
              </w:rPr>
              <w:t xml:space="preserve">- Như trên;
- Ban Giám đốc;
- Lưu: VT, Hồ sơ.</w:t>
            </w:r>
          </w:p>
        </w:tc>
        <w:tc>
          <w:tcPr>
            <w:tcW w:type="pct" w:w="50%"/>
          </w:tcPr>
          <w:p>
            <w:pPr>
              <w:spacing w:before="240"/>
              <w:jc w:val="center"/>
            </w:pPr>
            <w:r>
              <w:rPr>
                <w:rFonts w:ascii="Times New Roman" w:cs="Times New Roman" w:eastAsia="Times New Roman" w:hAnsi="Times New Roman"/>
                <w:b/>
                <w:bCs/>
                <w:sz w:val="24"/>
                <w:szCs w:val="24"/>
              </w:rPr>
              <w:t xml:space="preserve">THỦ TRƯỞNG CƠ QUAN</w:t>
            </w:r>
          </w:p>
          <w:p>
            <w:pPr>
              <w:spacing w:before="600"/>
              <w:jc w:val="center"/>
            </w:pPr>
            <w:r>
              <w:rPr>
                <w:rFonts w:ascii="Times New Roman" w:cs="Times New Roman" w:eastAsia="Times New Roman" w:hAnsi="Times New Roman"/>
                <w:b/>
                <w:bCs/>
                <w:sz w:val="26"/>
                <w:szCs w:val="26"/>
              </w:rPr>
              <w:t xml:space="preserve">Đỗ Hoàng Anh Tuấn</w:t>
            </w:r>
          </w:p>
        </w:tc>
      </w:tr>
    </w:tbl>
    <w:sectPr>
      <w:pgSz w:w="11906" w:h="16838" w:orient="portrait"/>
      <w:pgMar w:top="1440" w:right="1134" w:bottom="1440" w:left="17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2026-08-31T14:55:14.511Z</dcterms:created>
  <dcterms:modified xsi:type="dcterms:W3CDTF">2026-08-31T14:55:14.511Z</dcterms:modified>
</cp:coreProperties>
</file>

<file path=docProps/custom.xml><?xml version="1.0" encoding="utf-8"?>
<Properties xmlns="http://schemas.openxmlformats.org/officeDocument/2006/custom-properties" xmlns:vt="http://schemas.openxmlformats.org/officeDocument/2006/docPropsVTypes"/>
</file>