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TÀI CHÍNH</w:t>
            </w:r>
          </w:p>
          <w:p>
            <w:pPr>
              <w:spacing w:after="120" w:before="80"/>
              <w:jc w:val="center"/>
            </w:pPr>
            <w:r>
              <w:rPr>
                <w:rFonts w:ascii="Times New Roman" w:cs="Times New Roman" w:eastAsia="Times New Roman" w:hAnsi="Times New Roman"/>
                <w:sz w:val="24"/>
                <w:szCs w:val="24"/>
              </w:rPr>
              <w:t xml:space="preserve">Số: 219/2013/TT-BTC</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31/12/2013</w:t>
            </w:r>
          </w:p>
        </w:tc>
      </w:tr>
    </w:tbl>
    <w:p>
      <w:pPr>
        <w:spacing w:after="240" w:before="360"/>
        <w:jc w:val="center"/>
      </w:pPr>
      <w:r>
        <w:rPr>
          <w:rFonts w:ascii="Times New Roman" w:cs="Times New Roman" w:eastAsia="Times New Roman" w:hAnsi="Times New Roman"/>
          <w:b/>
          <w:bCs/>
          <w:sz w:val="28"/>
          <w:szCs w:val="28"/>
        </w:rPr>
        <w:t xml:space="preserve">THÔNG TƯ 219/2013/TT-BTC HƯỚNG DẪN THI HÀNH LUẬT THUẾ GIÁ TRỊ GIA TĂNG</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219/2013/TT-BTC</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2013-12-31</w:t>
      </w:r>
    </w:p>
    <w:p>
      <w:pPr>
        <w:spacing w:after="60" w:before="60" w:line="300"/>
        <w:ind w:firstLine="400"/>
        <w:jc w:val="both"/>
      </w:pPr>
      <w:r>
        <w:rPr>
          <w:rFonts w:ascii="Times New Roman" w:cs="Times New Roman" w:eastAsia="Times New Roman" w:hAnsi="Times New Roman"/>
          <w:sz w:val="26"/>
          <w:szCs w:val="26"/>
        </w:rPr>
        <w:t xml:space="preserve">THÔNG TƯ 219/2013/TT-BTC HƯỚNG DẪN THI HÀNH LUẬT THUẾ GIÁ TRỊ GIA TĂNG</w:t>
      </w:r>
    </w:p>
    <w:p>
      <w:pPr>
        <w:spacing w:after="100" w:before="200"/>
      </w:pPr>
      <w:r>
        <w:rPr>
          <w:rFonts w:ascii="Times New Roman" w:cs="Times New Roman" w:eastAsia="Times New Roman" w:hAnsi="Times New Roman"/>
          <w:b/>
          <w:bCs/>
          <w:sz w:val="26"/>
          <w:szCs w:val="26"/>
        </w:rPr>
        <w:t xml:space="preserve">Điều 1. Đối tượng chịu thuế</w:t>
      </w:r>
    </w:p>
    <w:p>
      <w:pPr>
        <w:spacing w:after="60" w:before="60" w:line="300"/>
        <w:ind w:firstLine="400"/>
        <w:jc w:val="both"/>
      </w:pPr>
      <w:r>
        <w:rPr>
          <w:rFonts w:ascii="Times New Roman" w:cs="Times New Roman" w:eastAsia="Times New Roman" w:hAnsi="Times New Roman"/>
          <w:sz w:val="26"/>
          <w:szCs w:val="26"/>
        </w:rPr>
        <w:t xml:space="preserve">Đối tượng chịu thuế giá trị gia tăng (GTGT) là hàng hóa, dịch vụ dùng cho sản xuất, kinh doanh và tiêu dùng ở Việt Nam (bao gồm cả hàng hóa, dịch vụ mua của tổ chức, cá nhân ở nước ngoài), trừ các đối tượng không chịu thuế GTGT hướng dẫn tại Điều 4 Thông tư này.</w:t>
      </w:r>
    </w:p>
    <w:p>
      <w:pPr>
        <w:spacing w:after="100" w:before="200"/>
      </w:pPr>
      <w:r>
        <w:rPr>
          <w:rFonts w:ascii="Times New Roman" w:cs="Times New Roman" w:eastAsia="Times New Roman" w:hAnsi="Times New Roman"/>
          <w:b/>
          <w:bCs/>
          <w:sz w:val="26"/>
          <w:szCs w:val="26"/>
        </w:rPr>
        <w:t xml:space="preserve">Điều 9. Thuế suất 0%</w:t>
      </w:r>
    </w:p>
    <w:p>
      <w:pPr>
        <w:spacing w:after="60" w:before="60" w:line="300"/>
        <w:ind w:firstLine="400"/>
        <w:jc w:val="both"/>
      </w:pPr>
      <w:r>
        <w:rPr>
          <w:rFonts w:ascii="Times New Roman" w:cs="Times New Roman" w:eastAsia="Times New Roman" w:hAnsi="Times New Roman"/>
          <w:sz w:val="26"/>
          <w:szCs w:val="26"/>
        </w:rPr>
        <w:t xml:space="preserve">1. Thuế suất 0%: áp dụng đối với hàng hóa, dịch vụ xuất khẩu; hoạt động xây dựng, lắp đặt công trình ở nước ngoài và ở trong khu phi thuế quan; vận tải quốc tế; hàng hóa, dịch vụ thuộc diện không chịu thuế GTGT khi xuất khẩu, trừ các trường hợp không áp dụng mức thuế suất 0% hướng dẫn tại khoản 3 Điều này.</w:t>
      </w:r>
    </w:p>
    <w:p>
      <w:pPr>
        <w:spacing w:after="60" w:before="60" w:line="300"/>
        <w:ind w:firstLine="400"/>
        <w:jc w:val="both"/>
      </w:pPr>
      <w:r>
        <w:rPr>
          <w:rFonts w:ascii="Times New Roman" w:cs="Times New Roman" w:eastAsia="Times New Roman" w:hAnsi="Times New Roman"/>
          <w:sz w:val="26"/>
          <w:szCs w:val="26"/>
        </w:rPr>
        <w:t xml:space="preserve">Hàng hóa, dịch vụ xuất khẩu là hàng hóa, dịch vụ được bán, cung ứng cho tổ chức, cá nhân ở nước ngoài và tiêu dùng ở ngoài Việt Nam; bán, cung ứng cho tổ chức, cá nhân trong khu phi thuế quan; hàng hóa, dịch vụ cung cấp cho khách hàng nước ngoài theo quy định của pháp luật.</w:t>
      </w:r>
    </w:p>
    <w:p>
      <w:pPr>
        <w:spacing w:after="100" w:before="200"/>
      </w:pPr>
      <w:r>
        <w:rPr>
          <w:rFonts w:ascii="Times New Roman" w:cs="Times New Roman" w:eastAsia="Times New Roman" w:hAnsi="Times New Roman"/>
          <w:b/>
          <w:bCs/>
          <w:sz w:val="26"/>
          <w:szCs w:val="26"/>
        </w:rPr>
        <w:t xml:space="preserve">Điều 15. Điều kiện khấu trừ thuế giá trị gia tăng đầu vào</w:t>
      </w:r>
    </w:p>
    <w:p>
      <w:pPr>
        <w:spacing w:after="60" w:before="60" w:line="300"/>
        <w:ind w:firstLine="400"/>
        <w:jc w:val="both"/>
      </w:pPr>
      <w:r>
        <w:rPr>
          <w:rFonts w:ascii="Times New Roman" w:cs="Times New Roman" w:eastAsia="Times New Roman" w:hAnsi="Times New Roman"/>
          <w:sz w:val="26"/>
          <w:szCs w:val="26"/>
        </w:rPr>
        <w:t xml:space="preserve">1. Có hóa đơn giá trị gia tăng hợp pháp của hàng hóa, dịch vụ mua vào hoặc chứng từ nộp thuế giá trị gia tăng khâu nhập khẩu hoặc chứng từ nộp thuế GTGT thay cho phía nước ngoài theo hướng dẫn của Bộ Tài chính áp dụng đối với các tổ chức nước ngoài không có tư cách pháp nhân Việt Nam và cá nhân nước ngoài kinh doanh hoặc có thu nhập phát sinh tại Việt Nam.</w:t>
      </w:r>
    </w:p>
    <w:p>
      <w:pPr>
        <w:spacing w:after="60" w:before="60" w:line="300"/>
        <w:ind w:firstLine="400"/>
        <w:jc w:val="both"/>
      </w:pPr>
      <w:r>
        <w:rPr>
          <w:rFonts w:ascii="Times New Roman" w:cs="Times New Roman" w:eastAsia="Times New Roman" w:hAnsi="Times New Roman"/>
          <w:sz w:val="26"/>
          <w:szCs w:val="26"/>
        </w:rPr>
        <w:t xml:space="preserve">2. Có chứng từ thanh toán không dùng tiền mặt đối với hàng hóa, dịch vụ mua vào (bao gồm cả hàng hóa nhập khẩu) từ hai mươi triệu đồng trở lên, trừ trường hợp tổng giá trị hàng hóa, dịch vụ mua vào từng lần theo hóa đơn dưới hai mươi triệu đồng theo giá đã có thuế GTGT.</w:t>
      </w:r>
    </w:p>
    <w:p>
      <w:pPr>
        <w:spacing w:after="60" w:before="60" w:line="300"/>
        <w:ind w:firstLine="400"/>
        <w:jc w:val="both"/>
      </w:pPr>
      <w:r>
        <w:rPr>
          <w:rFonts w:ascii="Times New Roman" w:cs="Times New Roman" w:eastAsia="Times New Roman" w:hAnsi="Times New Roman"/>
          <w:sz w:val="26"/>
          <w:szCs w:val="26"/>
        </w:rPr>
        <w:t xml:space="preserve">Chứng từ thanh toán không dùng tiền mặt gồm chứng từ thanh toán qua ngân hàng và các chứng từ thanh toán không dùng tiền mặt khác hướng dẫn tại khoản 3 và khoản 4 Điều này.</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Đỗ Hoàng Anh Tuấn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2026-08-31T14:55:14.971Z</dcterms:created>
  <dcterms:modified xsi:type="dcterms:W3CDTF">2026-08-31T14:55:14.971Z</dcterms:modified>
</cp:coreProperties>
</file>

<file path=docProps/custom.xml><?xml version="1.0" encoding="utf-8"?>
<Properties xmlns="http://schemas.openxmlformats.org/officeDocument/2006/custom-properties" xmlns:vt="http://schemas.openxmlformats.org/officeDocument/2006/docPropsVTypes"/>
</file>