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BỘ TÀI CHÍNH</w:t>
            </w:r>
          </w:p>
          <w:p>
            <w:pPr>
              <w:spacing w:after="120" w:before="80"/>
              <w:jc w:val="center"/>
            </w:pPr>
            <w:r>
              <w:rPr>
                <w:rFonts w:ascii="Times New Roman" w:cs="Times New Roman" w:eastAsia="Times New Roman" w:hAnsi="Times New Roman"/>
                <w:sz w:val="24"/>
                <w:szCs w:val="24"/>
              </w:rPr>
              <w:t xml:space="preserve">Số: 78/2021/TT-BTC</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17/09/2021</w:t>
            </w:r>
          </w:p>
        </w:tc>
      </w:tr>
    </w:tbl>
    <w:p>
      <w:pPr>
        <w:spacing w:after="240" w:before="360"/>
        <w:jc w:val="center"/>
      </w:pPr>
      <w:r>
        <w:rPr>
          <w:rFonts w:ascii="Times New Roman" w:cs="Times New Roman" w:eastAsia="Times New Roman" w:hAnsi="Times New Roman"/>
          <w:b/>
          <w:bCs/>
          <w:sz w:val="28"/>
          <w:szCs w:val="28"/>
        </w:rPr>
        <w:t xml:space="preserve">THÔNG TƯ 78/2021/TT-BTC HƯỚNG DẪN THỰC HIỆN MỘT SỐ ĐIỀU CỦA LUẬT QUẢN LÝ THUẾ VÀ NGHỊ ĐỊNH 123/2020/NĐ-CP VỀ HÓA ĐƠN, CHỨNG TỪ</w:t>
      </w:r>
    </w:p>
    <w:p>
      <w:pPr>
        <w:spacing w:after="60" w:before="60" w:line="300"/>
        <w:ind w:firstLine="400"/>
        <w:jc w:val="both"/>
      </w:pPr>
      <w:r>
        <w:rPr>
          <w:rFonts w:ascii="Times New Roman" w:cs="Times New Roman" w:eastAsia="Times New Roman" w:hAnsi="Times New Roman"/>
          <w:sz w:val="26"/>
          <w:szCs w:val="26"/>
        </w:rPr>
        <w:t xml:space="preserve">BỘ TÀI CHÍNH</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78/2021/TT-BTC</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2021-09-17</w:t>
      </w:r>
    </w:p>
    <w:p>
      <w:pPr>
        <w:spacing w:after="60" w:before="60" w:line="300"/>
        <w:ind w:firstLine="400"/>
        <w:jc w:val="both"/>
      </w:pPr>
      <w:r>
        <w:rPr>
          <w:rFonts w:ascii="Times New Roman" w:cs="Times New Roman" w:eastAsia="Times New Roman" w:hAnsi="Times New Roman"/>
          <w:sz w:val="26"/>
          <w:szCs w:val="26"/>
        </w:rPr>
        <w:t xml:space="preserve">THÔNG TƯ 78/2021/TT-BTC HƯỚNG DẪN THỰC HIỆN MỘT SỐ ĐIỀU CỦA LUẬT QUẢN LÝ THUẾ VÀ NGHỊ ĐỊNH 123/2020/NĐ-CP VỀ HÓA ĐƠN, CHỨNG TỪ</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Thông tư này hướng dẫn một số nội dung về hóa đơn, chứng từ theo quy định tại Luật Quản lý thuế ngày 13 tháng 6 năm 2019, Nghị định số 123/2020/NĐ-CP ngày 19 tháng 10 năm 2020 của Chính phủ quy định về hóa đơn, chứng từ.</w:t>
      </w:r>
    </w:p>
    <w:p>
      <w:pPr>
        <w:spacing w:after="100" w:before="200"/>
      </w:pPr>
      <w:r>
        <w:rPr>
          <w:rFonts w:ascii="Times New Roman" w:cs="Times New Roman" w:eastAsia="Times New Roman" w:hAnsi="Times New Roman"/>
          <w:b/>
          <w:bCs/>
          <w:sz w:val="26"/>
          <w:szCs w:val="26"/>
        </w:rPr>
        <w:t xml:space="preserve">Điều 4. Ký hiệu mẫu số hóa đơn, ký hiệu hóa đơn, tên số hóa đơn</w:t>
      </w:r>
    </w:p>
    <w:p>
      <w:pPr>
        <w:spacing w:after="60" w:before="60" w:line="300"/>
        <w:ind w:firstLine="400"/>
        <w:jc w:val="both"/>
      </w:pPr>
      <w:r>
        <w:rPr>
          <w:rFonts w:ascii="Times New Roman" w:cs="Times New Roman" w:eastAsia="Times New Roman" w:hAnsi="Times New Roman"/>
          <w:sz w:val="26"/>
          <w:szCs w:val="26"/>
        </w:rPr>
        <w:t xml:space="preserve">1. Ký hiệu mẫu số hóa đơn điện tử là một ký tự có một chữ số tự nhiên là các số tự nhiên 1, 2, 3, 4, 5, 6 để phản ánh loại hóa đơn điện tử như sau:</w:t>
      </w:r>
    </w:p>
    <w:p>
      <w:pPr>
        <w:spacing w:after="60" w:before="60" w:line="300"/>
        <w:ind w:firstLine="400"/>
        <w:jc w:val="both"/>
      </w:pPr>
      <w:r>
        <w:rPr>
          <w:rFonts w:ascii="Times New Roman" w:cs="Times New Roman" w:eastAsia="Times New Roman" w:hAnsi="Times New Roman"/>
          <w:sz w:val="26"/>
          <w:szCs w:val="26"/>
        </w:rPr>
        <w:t xml:space="preserve">- Số 1: Phản ánh loại hóa đơn điện tử giá trị gia tăng;</w:t>
      </w:r>
    </w:p>
    <w:p>
      <w:pPr>
        <w:spacing w:after="60" w:before="60" w:line="300"/>
        <w:ind w:firstLine="400"/>
        <w:jc w:val="both"/>
      </w:pPr>
      <w:r>
        <w:rPr>
          <w:rFonts w:ascii="Times New Roman" w:cs="Times New Roman" w:eastAsia="Times New Roman" w:hAnsi="Times New Roman"/>
          <w:sz w:val="26"/>
          <w:szCs w:val="26"/>
        </w:rPr>
        <w:t xml:space="preserve">- Số 2: Phản ánh loại hóa đơn điện tử bán hàng;</w:t>
      </w:r>
    </w:p>
    <w:p>
      <w:pPr>
        <w:spacing w:after="60" w:before="60" w:line="300"/>
        <w:ind w:firstLine="400"/>
        <w:jc w:val="both"/>
      </w:pPr>
      <w:r>
        <w:rPr>
          <w:rFonts w:ascii="Times New Roman" w:cs="Times New Roman" w:eastAsia="Times New Roman" w:hAnsi="Times New Roman"/>
          <w:sz w:val="26"/>
          <w:szCs w:val="26"/>
        </w:rPr>
        <w:t xml:space="preserve">- Số 3: Phản ánh loại hóa đơn điện tử bán tài sản công;</w:t>
      </w:r>
    </w:p>
    <w:p>
      <w:pPr>
        <w:spacing w:after="60" w:before="60" w:line="300"/>
        <w:ind w:firstLine="400"/>
        <w:jc w:val="both"/>
      </w:pPr>
      <w:r>
        <w:rPr>
          <w:rFonts w:ascii="Times New Roman" w:cs="Times New Roman" w:eastAsia="Times New Roman" w:hAnsi="Times New Roman"/>
          <w:sz w:val="26"/>
          <w:szCs w:val="26"/>
        </w:rPr>
        <w:t xml:space="preserve">- Số 4: Phản ánh loại hóa đơn điện tử bán hàng dự trữ quốc gia;</w:t>
      </w:r>
    </w:p>
    <w:p>
      <w:pPr>
        <w:spacing w:after="60" w:before="60" w:line="300"/>
        <w:ind w:firstLine="400"/>
        <w:jc w:val="both"/>
      </w:pPr>
      <w:r>
        <w:rPr>
          <w:rFonts w:ascii="Times New Roman" w:cs="Times New Roman" w:eastAsia="Times New Roman" w:hAnsi="Times New Roman"/>
          <w:sz w:val="26"/>
          <w:szCs w:val="26"/>
        </w:rPr>
        <w:t xml:space="preserve">- Số 5: Phản ánh các loại hóa đơn điện tử khác là tem điện tử, vé điện tử, thẻ điện tử, phiếu thu điện tử hoặc các chứng từ điện tử có tên gọi khác nhưng có nội dung của hóa đơn điện tử;</w:t>
      </w:r>
    </w:p>
    <w:p>
      <w:pPr>
        <w:spacing w:after="60" w:before="60" w:line="300"/>
        <w:ind w:firstLine="400"/>
        <w:jc w:val="both"/>
      </w:pPr>
      <w:r>
        <w:rPr>
          <w:rFonts w:ascii="Times New Roman" w:cs="Times New Roman" w:eastAsia="Times New Roman" w:hAnsi="Times New Roman"/>
          <w:sz w:val="26"/>
          <w:szCs w:val="26"/>
        </w:rPr>
        <w:t xml:space="preserve">- Số 6: Phản ánh các chứng từ điện tử được sử dụng và quản lý như hóa đơn gồm phiếu xuất kho kiêm vận chuyển nội bộ điện tử, phiếu xuất kho gửi bán hàng đại lý điện tử.</w:t>
      </w:r>
    </w:p>
    <w:p>
      <w:pPr>
        <w:spacing w:after="60" w:before="60" w:line="300"/>
        <w:ind w:firstLine="400"/>
        <w:jc w:val="both"/>
      </w:pPr>
      <w:r>
        <w:rPr>
          <w:rFonts w:ascii="Times New Roman" w:cs="Times New Roman" w:eastAsia="Times New Roman" w:hAnsi="Times New Roman"/>
          <w:sz w:val="26"/>
          <w:szCs w:val="26"/>
        </w:rPr>
        <w:t xml:space="preserve">2. Ký hiệu hóa đơn điện tử là nhóm gồm 6 ký tự gồm cả chữ viết và chữ số thể hiện ký hiệu hóa đơn để phản ánh các thông tin về loại hóa đơn điện tử có mã của cơ quan thuế hoặc hóa đơn điện tử không có mã, năm lập hóa đơn, loại hóa đơn điện tử được sử dụng.</w:t>
      </w:r>
    </w:p>
    <w:p>
      <w:pPr>
        <w:spacing w:after="100" w:before="200"/>
      </w:pPr>
      <w:r>
        <w:rPr>
          <w:rFonts w:ascii="Times New Roman" w:cs="Times New Roman" w:eastAsia="Times New Roman" w:hAnsi="Times New Roman"/>
          <w:b/>
          <w:bCs/>
          <w:sz w:val="26"/>
          <w:szCs w:val="26"/>
        </w:rPr>
        <w:t xml:space="preserve">Điều 7. Xử lý hóa đơn điện tử, bảng tổng hợp dữ liệu hóa đơn điện tử đã gửi cơ quan thuế có sai sót trong một số trường hợp</w:t>
      </w:r>
    </w:p>
    <w:p>
      <w:pPr>
        <w:spacing w:after="60" w:before="60" w:line="300"/>
        <w:ind w:firstLine="400"/>
        <w:jc w:val="both"/>
      </w:pPr>
      <w:r>
        <w:rPr>
          <w:rFonts w:ascii="Times New Roman" w:cs="Times New Roman" w:eastAsia="Times New Roman" w:hAnsi="Times New Roman"/>
          <w:sz w:val="26"/>
          <w:szCs w:val="26"/>
        </w:rPr>
        <w:t xml:space="preserve">1. Đối với hóa đơn điện tử đã lập có sai sót phải cấp lại mã của cơ quan thuế hoặc hóa đơn điện tử có sai sót cần xử lý theo hình thức điều chỉnh hoặc thay thế theo quy định tại Điều 19 Nghị định số 123/2020/NĐ-CP thì người bán được lựa chọn sử dụng Mẫu số 04/SS-HĐĐT tại Phụ lục IA ban hành kèm theo Nghị định số 123/2020/NĐ-CP để thông báo việc điều chỉnh cho từng hóa đơn có sai sót hoặc thông báo việc điều chỉnh cho nhiều hóa đơn điện tử có sai sót và gửi thông báo theo Mẫu số 04/SS-HĐĐT đến cơ quan thuế bất cứ thời gian nào nhưng chậm nhất là ngày cuối cùng của kỳ kê khai thuế giá trị gia tăng phát sinh hóa đơn điện tử điều chỉnh.</w:t>
      </w:r>
    </w:p>
    <w:p>
      <w:pPr>
        <w:spacing w:after="60" w:before="60" w:line="300"/>
        <w:ind w:firstLine="400"/>
        <w:jc w:val="both"/>
      </w:pPr>
      <w:r>
        <w:rPr>
          <w:rFonts w:ascii="Times New Roman" w:cs="Times New Roman" w:eastAsia="Times New Roman" w:hAnsi="Times New Roman"/>
          <w:sz w:val="26"/>
          <w:szCs w:val="26"/>
        </w:rPr>
        <w:t xml:space="preserve">2. Người bán lập hóa đơn điện tử điều chỉnh hoặc thay thế khi xử lý sai sót theo quy định tại điểm b khoản 2 Điều 19 Nghị định số 123/2020/NĐ-CP.</w:t>
      </w:r>
    </w:p>
    <w:p>
      <w:pPr>
        <w:spacing w:after="100" w:before="200"/>
      </w:pPr>
      <w:r>
        <w:rPr>
          <w:rFonts w:ascii="Times New Roman" w:cs="Times New Roman" w:eastAsia="Times New Roman" w:hAnsi="Times New Roman"/>
          <w:b/>
          <w:bCs/>
          <w:sz w:val="26"/>
          <w:szCs w:val="26"/>
        </w:rPr>
        <w:t xml:space="preserve">Điều 8. Hóa đơn điện tử có mã của cơ quan thuế được khởi tạo từ máy tính tiền có kết nối chuyển dữ liệu điện tử với cơ quan thuế</w:t>
      </w:r>
    </w:p>
    <w:p>
      <w:pPr>
        <w:spacing w:after="60" w:before="60" w:line="300"/>
        <w:ind w:firstLine="400"/>
        <w:jc w:val="both"/>
      </w:pPr>
      <w:r>
        <w:rPr>
          <w:rFonts w:ascii="Times New Roman" w:cs="Times New Roman" w:eastAsia="Times New Roman" w:hAnsi="Times New Roman"/>
          <w:sz w:val="26"/>
          <w:szCs w:val="26"/>
        </w:rPr>
        <w:t xml:space="preserve">1. Hóa đơn điện tử có mã của cơ quan thuế được khởi tạo từ máy tính tiền có kết nối chuyển dữ liệu điện tử với cơ quan thuế đảm bảo quy định tại Điều 11 Nghị định số 123/2020/NĐ-CP.</w:t>
      </w:r>
    </w:p>
    <w:p>
      <w:pPr>
        <w:spacing w:after="60" w:before="60" w:line="300"/>
        <w:ind w:firstLine="400"/>
        <w:jc w:val="both"/>
      </w:pPr>
      <w:r>
        <w:rPr>
          <w:rFonts w:ascii="Times New Roman" w:cs="Times New Roman" w:eastAsia="Times New Roman" w:hAnsi="Times New Roman"/>
          <w:sz w:val="26"/>
          <w:szCs w:val="26"/>
        </w:rPr>
        <w:t xml:space="preserve">2. Doanh nghiệp, hộ, cá nhân kinh doanh nộp thuế theo phương pháp kê khai có hoạt động cung cấp hàng hóa, dịch vụ trực tiếp đến người tiêu dùng theo mô hình kinh doanh (trung tâm thương mại; siêu thị; bán lẻ hàng tiêu dùng; ăn uống; nhà hàng; khách sạn; dịch vụ vui chơi, giải trí và các dịch vụ khác) được lựa chọn sử dụng hóa đơn điện tử khởi tạo từ máy tính tiền.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Hồ Đức Phớc</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2026-08-31T14:55:14.037Z</dcterms:created>
  <dcterms:modified xsi:type="dcterms:W3CDTF">2026-08-31T14:55:14.037Z</dcterms:modified>
</cp:coreProperties>
</file>

<file path=docProps/custom.xml><?xml version="1.0" encoding="utf-8"?>
<Properties xmlns="http://schemas.openxmlformats.org/officeDocument/2006/custom-properties" xmlns:vt="http://schemas.openxmlformats.org/officeDocument/2006/docPropsVTypes"/>
</file>