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CB6C" w14:textId="77777777" w:rsidR="00A939CD" w:rsidRPr="00DA2E6E" w:rsidRDefault="00A939CD" w:rsidP="00DA2E6E">
      <w:pPr>
        <w:spacing w:after="0" w:line="240" w:lineRule="auto"/>
        <w:rPr>
          <w:rFonts w:ascii="Times New Roman" w:hAnsi="Times New Roman"/>
        </w:rPr>
      </w:pPr>
    </w:p>
    <w:tbl>
      <w:tblPr>
        <w:tblW w:w="5000" w:type="pct"/>
        <w:tblCellMar>
          <w:left w:w="10" w:type="dxa"/>
          <w:right w:w="10" w:type="dxa"/>
        </w:tblCellMar>
        <w:tblLook w:val="07E0" w:firstRow="1" w:lastRow="1" w:firstColumn="1" w:lastColumn="1" w:noHBand="1" w:noVBand="1"/>
      </w:tblPr>
      <w:tblGrid>
        <w:gridCol w:w="3158"/>
        <w:gridCol w:w="5312"/>
      </w:tblGrid>
      <w:tr w:rsidR="00EB01FF" w:rsidRPr="00DA2E6E" w14:paraId="63D57EA0" w14:textId="77777777" w:rsidTr="00DA2E6E">
        <w:tc>
          <w:tcPr>
            <w:tcW w:w="1864" w:type="pct"/>
          </w:tcPr>
          <w:p w14:paraId="483FB7BD" w14:textId="77777777" w:rsidR="00875C9A" w:rsidRPr="00DA2E6E" w:rsidRDefault="00875C9A" w:rsidP="00DA2E6E">
            <w:pPr>
              <w:adjustRightInd w:val="0"/>
              <w:snapToGrid w:val="0"/>
              <w:spacing w:after="0" w:line="240" w:lineRule="auto"/>
              <w:jc w:val="center"/>
              <w:rPr>
                <w:rFonts w:ascii="Times New Roman" w:hAnsi="Times New Roman"/>
                <w:color w:val="000000"/>
              </w:rPr>
            </w:pPr>
          </w:p>
        </w:tc>
        <w:tc>
          <w:tcPr>
            <w:tcW w:w="3136" w:type="pct"/>
          </w:tcPr>
          <w:p w14:paraId="4F78AEC4"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CỘNG</w:t>
            </w:r>
            <w:r w:rsidR="003C24C9" w:rsidRPr="00DA2E6E">
              <w:rPr>
                <w:rFonts w:ascii="Times New Roman" w:hAnsi="Times New Roman"/>
                <w:b/>
                <w:color w:val="000000"/>
              </w:rPr>
              <w:t xml:space="preserve"> </w:t>
            </w:r>
            <w:r w:rsidRPr="00DA2E6E">
              <w:rPr>
                <w:rFonts w:ascii="Times New Roman" w:hAnsi="Times New Roman"/>
                <w:b/>
                <w:color w:val="000000"/>
              </w:rPr>
              <w:t>HÒA</w:t>
            </w:r>
            <w:r w:rsidR="003C24C9" w:rsidRPr="00DA2E6E">
              <w:rPr>
                <w:rFonts w:ascii="Times New Roman" w:hAnsi="Times New Roman"/>
                <w:b/>
                <w:color w:val="000000"/>
              </w:rPr>
              <w:t xml:space="preserve"> </w:t>
            </w:r>
            <w:r w:rsidRPr="00DA2E6E">
              <w:rPr>
                <w:rFonts w:ascii="Times New Roman" w:hAnsi="Times New Roman"/>
                <w:b/>
                <w:color w:val="000000"/>
              </w:rPr>
              <w:t>XÃ</w:t>
            </w:r>
            <w:r w:rsidR="003C24C9" w:rsidRPr="00DA2E6E">
              <w:rPr>
                <w:rFonts w:ascii="Times New Roman" w:hAnsi="Times New Roman"/>
                <w:b/>
                <w:color w:val="000000"/>
              </w:rPr>
              <w:t xml:space="preserve"> </w:t>
            </w:r>
            <w:r w:rsidRPr="00DA2E6E">
              <w:rPr>
                <w:rFonts w:ascii="Times New Roman" w:hAnsi="Times New Roman"/>
                <w:b/>
                <w:color w:val="000000"/>
              </w:rPr>
              <w:t>HỘI</w:t>
            </w:r>
            <w:r w:rsidR="003C24C9" w:rsidRPr="00DA2E6E">
              <w:rPr>
                <w:rFonts w:ascii="Times New Roman" w:hAnsi="Times New Roman"/>
                <w:b/>
                <w:color w:val="000000"/>
              </w:rPr>
              <w:t xml:space="preserve"> </w:t>
            </w:r>
            <w:r w:rsidRPr="00DA2E6E">
              <w:rPr>
                <w:rFonts w:ascii="Times New Roman" w:hAnsi="Times New Roman"/>
                <w:b/>
                <w:color w:val="000000"/>
              </w:rPr>
              <w:t>CHỦ</w:t>
            </w:r>
            <w:r w:rsidR="003C24C9" w:rsidRPr="00DA2E6E">
              <w:rPr>
                <w:rFonts w:ascii="Times New Roman" w:hAnsi="Times New Roman"/>
                <w:b/>
                <w:color w:val="000000"/>
              </w:rPr>
              <w:t xml:space="preserve"> </w:t>
            </w:r>
            <w:r w:rsidRPr="00DA2E6E">
              <w:rPr>
                <w:rFonts w:ascii="Times New Roman" w:hAnsi="Times New Roman"/>
                <w:b/>
                <w:color w:val="000000"/>
              </w:rPr>
              <w:t>NGHĨA</w:t>
            </w:r>
            <w:r w:rsidR="003C24C9" w:rsidRPr="00DA2E6E">
              <w:rPr>
                <w:rFonts w:ascii="Times New Roman" w:hAnsi="Times New Roman"/>
                <w:b/>
                <w:color w:val="000000"/>
              </w:rPr>
              <w:t xml:space="preserve"> </w:t>
            </w:r>
            <w:r w:rsidRPr="00DA2E6E">
              <w:rPr>
                <w:rFonts w:ascii="Times New Roman" w:hAnsi="Times New Roman"/>
                <w:b/>
                <w:color w:val="000000"/>
              </w:rPr>
              <w:t>VIỆT</w:t>
            </w:r>
            <w:r w:rsidR="003C24C9" w:rsidRPr="00DA2E6E">
              <w:rPr>
                <w:rFonts w:ascii="Times New Roman" w:hAnsi="Times New Roman"/>
                <w:b/>
                <w:color w:val="000000"/>
              </w:rPr>
              <w:t xml:space="preserve"> </w:t>
            </w:r>
            <w:r w:rsidRPr="00DA2E6E">
              <w:rPr>
                <w:rFonts w:ascii="Times New Roman" w:hAnsi="Times New Roman"/>
                <w:b/>
                <w:color w:val="000000"/>
              </w:rPr>
              <w:t>NAM</w:t>
            </w:r>
            <w:r w:rsidRPr="00DA2E6E">
              <w:rPr>
                <w:rFonts w:ascii="Times New Roman" w:hAnsi="Times New Roman"/>
                <w:color w:val="000000"/>
              </w:rPr>
              <w:br/>
            </w:r>
            <w:r w:rsidR="003C24C9" w:rsidRPr="00DA2E6E">
              <w:rPr>
                <w:rFonts w:ascii="Times New Roman" w:hAnsi="Times New Roman"/>
                <w:b/>
                <w:color w:val="000000"/>
              </w:rPr>
              <w:t xml:space="preserve"> </w:t>
            </w:r>
            <w:r w:rsidRPr="00DA2E6E">
              <w:rPr>
                <w:rFonts w:ascii="Times New Roman" w:hAnsi="Times New Roman"/>
                <w:b/>
                <w:color w:val="000000"/>
              </w:rPr>
              <w:t>Độc</w:t>
            </w:r>
            <w:r w:rsidR="003C24C9" w:rsidRPr="00DA2E6E">
              <w:rPr>
                <w:rFonts w:ascii="Times New Roman" w:hAnsi="Times New Roman"/>
                <w:b/>
                <w:color w:val="000000"/>
              </w:rPr>
              <w:t xml:space="preserve"> </w:t>
            </w:r>
            <w:r w:rsidRPr="00DA2E6E">
              <w:rPr>
                <w:rFonts w:ascii="Times New Roman" w:hAnsi="Times New Roman"/>
                <w:b/>
                <w:color w:val="000000"/>
              </w:rPr>
              <w:t>lập</w:t>
            </w:r>
            <w:r w:rsidR="003C24C9" w:rsidRPr="00DA2E6E">
              <w:rPr>
                <w:rFonts w:ascii="Times New Roman" w:hAnsi="Times New Roman"/>
                <w:b/>
                <w:color w:val="000000"/>
              </w:rPr>
              <w:t xml:space="preserve"> </w:t>
            </w:r>
            <w:r w:rsidR="00DA2E6E" w:rsidRPr="00DA2E6E">
              <w:rPr>
                <w:rFonts w:ascii="Times New Roman" w:hAnsi="Times New Roman"/>
                <w:b/>
                <w:color w:val="000000"/>
              </w:rPr>
              <w:t>-</w:t>
            </w:r>
            <w:r w:rsidR="003C24C9" w:rsidRPr="00DA2E6E">
              <w:rPr>
                <w:rFonts w:ascii="Times New Roman" w:hAnsi="Times New Roman"/>
                <w:b/>
                <w:color w:val="000000"/>
              </w:rPr>
              <w:t xml:space="preserve"> </w:t>
            </w:r>
            <w:r w:rsidRPr="00DA2E6E">
              <w:rPr>
                <w:rFonts w:ascii="Times New Roman" w:hAnsi="Times New Roman"/>
                <w:b/>
                <w:color w:val="000000"/>
              </w:rPr>
              <w:t>Tự</w:t>
            </w:r>
            <w:r w:rsidR="003C24C9" w:rsidRPr="00DA2E6E">
              <w:rPr>
                <w:rFonts w:ascii="Times New Roman" w:hAnsi="Times New Roman"/>
                <w:b/>
                <w:color w:val="000000"/>
              </w:rPr>
              <w:t xml:space="preserve"> </w:t>
            </w:r>
            <w:r w:rsidRPr="00DA2E6E">
              <w:rPr>
                <w:rFonts w:ascii="Times New Roman" w:hAnsi="Times New Roman"/>
                <w:b/>
                <w:color w:val="000000"/>
              </w:rPr>
              <w:t>do</w:t>
            </w:r>
            <w:r w:rsidR="003C24C9" w:rsidRPr="00DA2E6E">
              <w:rPr>
                <w:rFonts w:ascii="Times New Roman" w:hAnsi="Times New Roman"/>
                <w:b/>
                <w:color w:val="000000"/>
              </w:rPr>
              <w:t xml:space="preserve"> </w:t>
            </w:r>
            <w:r w:rsidR="00DA2E6E" w:rsidRPr="00DA2E6E">
              <w:rPr>
                <w:rFonts w:ascii="Times New Roman" w:hAnsi="Times New Roman"/>
                <w:b/>
                <w:color w:val="000000"/>
              </w:rPr>
              <w:t>-</w:t>
            </w:r>
            <w:r w:rsidR="003C24C9" w:rsidRPr="00DA2E6E">
              <w:rPr>
                <w:rFonts w:ascii="Times New Roman" w:hAnsi="Times New Roman"/>
                <w:b/>
                <w:color w:val="000000"/>
              </w:rPr>
              <w:t xml:space="preserve"> </w:t>
            </w:r>
            <w:r w:rsidRPr="00DA2E6E">
              <w:rPr>
                <w:rFonts w:ascii="Times New Roman" w:hAnsi="Times New Roman"/>
                <w:b/>
                <w:color w:val="000000"/>
              </w:rPr>
              <w:t>Hạnh</w:t>
            </w:r>
            <w:r w:rsidR="003C24C9" w:rsidRPr="00DA2E6E">
              <w:rPr>
                <w:rFonts w:ascii="Times New Roman" w:hAnsi="Times New Roman"/>
                <w:b/>
                <w:color w:val="000000"/>
              </w:rPr>
              <w:t xml:space="preserve"> </w:t>
            </w:r>
            <w:r w:rsidRPr="00DA2E6E">
              <w:rPr>
                <w:rFonts w:ascii="Times New Roman" w:hAnsi="Times New Roman"/>
                <w:b/>
                <w:color w:val="000000"/>
              </w:rPr>
              <w:t>phúc</w:t>
            </w:r>
            <w:r w:rsidRPr="00DA2E6E">
              <w:rPr>
                <w:rFonts w:ascii="Times New Roman" w:hAnsi="Times New Roman"/>
                <w:color w:val="000000"/>
              </w:rPr>
              <w:br/>
              <w:t>__________</w:t>
            </w:r>
            <w:r w:rsidR="00DA2E6E" w:rsidRPr="00DA2E6E">
              <w:rPr>
                <w:rFonts w:ascii="Times New Roman" w:hAnsi="Times New Roman"/>
                <w:color w:val="000000"/>
              </w:rPr>
              <w:t>_______</w:t>
            </w:r>
            <w:r w:rsidRPr="00DA2E6E">
              <w:rPr>
                <w:rFonts w:ascii="Times New Roman" w:hAnsi="Times New Roman"/>
                <w:color w:val="000000"/>
              </w:rPr>
              <w:t>_______</w:t>
            </w:r>
          </w:p>
        </w:tc>
      </w:tr>
    </w:tbl>
    <w:p w14:paraId="1067AFC5" w14:textId="77777777" w:rsidR="00EB01FF" w:rsidRPr="00DA2E6E" w:rsidRDefault="00EB01FF" w:rsidP="00DA2E6E">
      <w:pPr>
        <w:adjustRightInd w:val="0"/>
        <w:snapToGrid w:val="0"/>
        <w:spacing w:after="0" w:line="240" w:lineRule="auto"/>
        <w:jc w:val="center"/>
        <w:rPr>
          <w:rFonts w:ascii="Times New Roman" w:hAnsi="Times New Roman"/>
          <w:b/>
          <w:color w:val="000000"/>
        </w:rPr>
      </w:pPr>
    </w:p>
    <w:p w14:paraId="74CEE4C4" w14:textId="77777777" w:rsidR="00875C9A" w:rsidRPr="00DA2E6E" w:rsidRDefault="0041076F" w:rsidP="00DA2E6E">
      <w:pPr>
        <w:adjustRightInd w:val="0"/>
        <w:snapToGrid w:val="0"/>
        <w:spacing w:after="0" w:line="240" w:lineRule="auto"/>
        <w:jc w:val="center"/>
        <w:rPr>
          <w:rFonts w:ascii="Times New Roman" w:hAnsi="Times New Roman"/>
          <w:b/>
          <w:color w:val="000000"/>
        </w:rPr>
      </w:pPr>
      <w:r w:rsidRPr="00DA2E6E">
        <w:rPr>
          <w:rFonts w:ascii="Times New Roman" w:hAnsi="Times New Roman"/>
          <w:b/>
          <w:color w:val="000000"/>
        </w:rPr>
        <w:t>LUẬT</w:t>
      </w:r>
      <w:r w:rsidR="00EB01FF" w:rsidRPr="00DA2E6E">
        <w:rPr>
          <w:rFonts w:ascii="Times New Roman" w:hAnsi="Times New Roman"/>
          <w:b/>
          <w:color w:val="000000"/>
        </w:rPr>
        <w:br/>
      </w:r>
      <w:r w:rsidRPr="00DA2E6E">
        <w:rPr>
          <w:rFonts w:ascii="Times New Roman" w:hAnsi="Times New Roman"/>
          <w:b/>
          <w:color w:val="000000"/>
        </w:rPr>
        <w:t>THUẾ THU NHẬP CÁ NHÂN</w:t>
      </w:r>
    </w:p>
    <w:p w14:paraId="402B28FE"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52D0606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Luật Thuế thu nhập cá nhân số 109/2025/QH15 ngày 10 tháng 12 năm 2025 của Quốc hội, có hiệu lực kể từ ngày 01 tháng 7 năm 2026, được sửa đổi, bổ sung bởi:</w:t>
      </w:r>
    </w:p>
    <w:p w14:paraId="1F1032B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Luật số 09/2026/QH16 ngày 24 tháng 4 năm 2026 của Quốc hội sửa đổi, bổ sung một số điều của Luật Thuế thu nhập cá nhân, Luật Thuế giá trị gia tăng, Luật Thuế thu nhập doanh nghiệp và Luật Thuế tiêu thụ đặc biệt, có hiệu lực thi hành kể </w:t>
      </w:r>
      <w:r w:rsidRPr="00DA2E6E">
        <w:rPr>
          <w:rFonts w:ascii="Times New Roman" w:hAnsi="Times New Roman"/>
          <w:color w:val="000000"/>
        </w:rPr>
        <w:t>từ ngày 24 tháng 4 năm 2026.</w:t>
      </w:r>
    </w:p>
    <w:p w14:paraId="4B76F072" w14:textId="77777777" w:rsidR="001B6A45" w:rsidRPr="00DA2E6E" w:rsidRDefault="001B6A45" w:rsidP="00DA2E6E">
      <w:pPr>
        <w:spacing w:after="0" w:line="240" w:lineRule="auto"/>
        <w:ind w:firstLine="720"/>
        <w:jc w:val="both"/>
        <w:rPr>
          <w:rFonts w:ascii="Times New Roman" w:hAnsi="Times New Roman"/>
          <w:color w:val="000000"/>
        </w:rPr>
      </w:pPr>
    </w:p>
    <w:p w14:paraId="2CF32E51" w14:textId="77777777" w:rsidR="00875C9A" w:rsidRPr="00DA2E6E" w:rsidRDefault="0041076F" w:rsidP="00DA2E6E">
      <w:pPr>
        <w:spacing w:after="0" w:line="240" w:lineRule="auto"/>
        <w:ind w:firstLine="720"/>
        <w:jc w:val="both"/>
        <w:rPr>
          <w:rFonts w:ascii="Times New Roman" w:hAnsi="Times New Roman"/>
          <w:i/>
          <w:color w:val="000000"/>
        </w:rPr>
      </w:pPr>
      <w:r w:rsidRPr="00DA2E6E">
        <w:rPr>
          <w:rFonts w:ascii="Times New Roman" w:hAnsi="Times New Roman"/>
          <w:i/>
          <w:color w:val="000000"/>
        </w:rPr>
        <w:t>Căn cứ Hiến pháp nước Cộng hòa xã hội chủ nghĩa Việt Nam đã được sửa đổi, bổ sung một số điều theo Nghị quyết số 203/2025/QH15;</w:t>
      </w:r>
    </w:p>
    <w:p w14:paraId="0844984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i/>
          <w:color w:val="000000"/>
        </w:rPr>
        <w:t>Quốc hội ban hành Luật Thuế thu nhập cá nhân.</w:t>
      </w:r>
      <w:r w:rsidR="001A3661">
        <w:rPr>
          <w:rStyle w:val="FootnoteReference"/>
          <w:rFonts w:ascii="Times New Roman" w:hAnsi="Times New Roman"/>
          <w:i/>
          <w:color w:val="000000"/>
        </w:rPr>
        <w:footnoteReference w:id="1"/>
      </w:r>
    </w:p>
    <w:p w14:paraId="4A9337EF" w14:textId="77777777" w:rsidR="00EB01FF" w:rsidRPr="00DA2E6E" w:rsidRDefault="00EB01FF" w:rsidP="00DA2E6E">
      <w:pPr>
        <w:adjustRightInd w:val="0"/>
        <w:snapToGrid w:val="0"/>
        <w:spacing w:after="0" w:line="240" w:lineRule="auto"/>
        <w:jc w:val="center"/>
        <w:rPr>
          <w:rFonts w:ascii="Times New Roman" w:hAnsi="Times New Roman"/>
          <w:b/>
          <w:color w:val="000000"/>
        </w:rPr>
      </w:pPr>
    </w:p>
    <w:p w14:paraId="0CD598A1"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Chương I</w:t>
      </w:r>
    </w:p>
    <w:p w14:paraId="794D12EE" w14:textId="77777777" w:rsidR="00875C9A" w:rsidRPr="00DA2E6E" w:rsidRDefault="0041076F" w:rsidP="00DA2E6E">
      <w:pPr>
        <w:adjustRightInd w:val="0"/>
        <w:snapToGrid w:val="0"/>
        <w:spacing w:after="0" w:line="240" w:lineRule="auto"/>
        <w:jc w:val="center"/>
        <w:rPr>
          <w:rFonts w:ascii="Times New Roman" w:hAnsi="Times New Roman"/>
          <w:b/>
          <w:color w:val="000000"/>
        </w:rPr>
      </w:pPr>
      <w:r w:rsidRPr="00DA2E6E">
        <w:rPr>
          <w:rFonts w:ascii="Times New Roman" w:hAnsi="Times New Roman"/>
          <w:b/>
          <w:color w:val="000000"/>
        </w:rPr>
        <w:t>NHỮNG QUY ĐỊNH CHUNG</w:t>
      </w:r>
    </w:p>
    <w:p w14:paraId="1CDC2861"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4505C4B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 Phạm vi điều chỉnh</w:t>
      </w:r>
    </w:p>
    <w:p w14:paraId="09587228"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Luật này quy định về người nộp thuế, thu nhập chịu thuế, thu nhập được miễn thuế, giảm thuế và căn cứ tính thuế thu nhập cá nhân.</w:t>
      </w:r>
    </w:p>
    <w:p w14:paraId="21201B8F"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 Người nộp thuế</w:t>
      </w:r>
    </w:p>
    <w:p w14:paraId="67CE0B2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1. Người nộp thuế thu nhập cá nhân là cá nhân cư trú có thu nhập chịu thuế quy định tại Điều 3 </w:t>
      </w:r>
      <w:r w:rsidRPr="00DA2E6E">
        <w:rPr>
          <w:rFonts w:ascii="Times New Roman" w:hAnsi="Times New Roman"/>
          <w:color w:val="000000"/>
        </w:rPr>
        <w:t>của Luật này phát sinh trong và ngoài lãnh thổ Việt Nam và cá nhân không cư trú có thu nhập chịu thuế quy định tại Điều 3 của Luật này phát sinh trong lãnh thổ Việt Nam.</w:t>
      </w:r>
    </w:p>
    <w:p w14:paraId="668F891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Cá nhân cư trú là người đáp ứng một trong các điều kiện sau đây:</w:t>
      </w:r>
    </w:p>
    <w:p w14:paraId="2B8B766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Có mặt tại Việt Nam từ 183 ngày trở lên tính trong 01 năm dương lịch hoặc tính theo 12 tháng liên tục kể từ ngày đầu tiên có mặt tại Việt Nam;</w:t>
      </w:r>
    </w:p>
    <w:p w14:paraId="204AEE1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Có nơi ở thường xuyên tại Việt Nam, bao gồm có nơi ở đăng ký thường trú hoặc có nhà thuê để ở tại Việt Nam theo hợp đồng thuê</w:t>
      </w:r>
      <w:r w:rsidRPr="00DA2E6E">
        <w:rPr>
          <w:rFonts w:ascii="Times New Roman" w:hAnsi="Times New Roman"/>
          <w:color w:val="000000"/>
        </w:rPr>
        <w:t xml:space="preserve"> có thời hạn.</w:t>
      </w:r>
    </w:p>
    <w:p w14:paraId="759DC96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Cá nhân không cư trú là người không đáp ứng điều kiện quy định tại khoản 2 Điều này.</w:t>
      </w:r>
    </w:p>
    <w:p w14:paraId="4144E38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lastRenderedPageBreak/>
        <w:t>4. Chính phủ quy định chi tiết Điều này.</w:t>
      </w:r>
    </w:p>
    <w:p w14:paraId="0AD90A1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3. Thu nhập chịu thuế</w:t>
      </w:r>
    </w:p>
    <w:p w14:paraId="43658EC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Thu nhập chịu thuế thu nhập cá nhân gồm các loại thu nhập sau đây, trừ thu nhập được miễn thuế quy định tại Điều 4 của Luật này:</w:t>
      </w:r>
    </w:p>
    <w:p w14:paraId="2A22D0B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 nhập từ kinh doanh, bao gồm:</w:t>
      </w:r>
    </w:p>
    <w:p w14:paraId="14ACE7D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Thu nhập từ hoạt động sản xuất, kinh doanh hàng hóa, dịch vụ;</w:t>
      </w:r>
    </w:p>
    <w:p w14:paraId="4846551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Thu nhập từ hoạt động hành nghề độc lập của cá nhân có giấy phép hoặc chứng chỉ hành nghề theo quy định của p</w:t>
      </w:r>
      <w:r w:rsidRPr="00DA2E6E">
        <w:rPr>
          <w:rFonts w:ascii="Times New Roman" w:hAnsi="Times New Roman"/>
          <w:color w:val="000000"/>
        </w:rPr>
        <w:t>háp luật;</w:t>
      </w:r>
    </w:p>
    <w:p w14:paraId="4D3BC34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Thu nhập từ hoạt động đại lý, môi giới, hợp tác kinh doanh với tổ chức;</w:t>
      </w:r>
    </w:p>
    <w:p w14:paraId="08BF45C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d) Thu nhập từ hoạt động kinh doanh thương mại điện tử, kinh doanh dựa trên nền tảng số.</w:t>
      </w:r>
    </w:p>
    <w:p w14:paraId="2CE5762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từ tiền lương, tiền công, bao gồm:</w:t>
      </w:r>
    </w:p>
    <w:p w14:paraId="79F1B3B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Tiền lương, tiền công và các khoản có tính chất tiền lương, tiền công;</w:t>
      </w:r>
    </w:p>
    <w:p w14:paraId="48886A9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Tiền thù lao, các khoản lợi ích bằng tiền hoặc không bằng tiền dưới mọi hình thức;</w:t>
      </w:r>
    </w:p>
    <w:p w14:paraId="346F020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Các khoản phụ cấp, trợ cấp, thu nhập khác trừ các khoản: phụ cấp, trợ cấp theo quy định của pháp luật về ưu đãi người có công; p</w:t>
      </w:r>
      <w:r w:rsidRPr="00DA2E6E">
        <w:rPr>
          <w:rFonts w:ascii="Times New Roman" w:hAnsi="Times New Roman"/>
          <w:color w:val="000000"/>
        </w:rPr>
        <w:t>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w:t>
      </w:r>
      <w:r w:rsidRPr="00DA2E6E">
        <w:rPr>
          <w:rFonts w:ascii="Times New Roman" w:hAnsi="Times New Roman"/>
          <w:color w:val="000000"/>
        </w:rPr>
        <w:t>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w:t>
      </w:r>
    </w:p>
    <w:p w14:paraId="21AE474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Thu nhập từ đầu tư vốn, bao gồm:</w:t>
      </w:r>
    </w:p>
    <w:p w14:paraId="35F0214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Tiền lãi cho vay;</w:t>
      </w:r>
    </w:p>
    <w:p w14:paraId="5838FE5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Lợi tức cổ phần;</w:t>
      </w:r>
    </w:p>
    <w:p w14:paraId="1D81A11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Thu nhập từ đầu tư vốn dưới các hình thức khác.</w:t>
      </w:r>
    </w:p>
    <w:p w14:paraId="110D377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Thu nhập từ chuyển nhượng vốn, bao gồm:</w:t>
      </w:r>
    </w:p>
    <w:p w14:paraId="4315706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Thu nhập từ chuyển nhượng phần vốn trong các tổ chức kinh tế;</w:t>
      </w:r>
    </w:p>
    <w:p w14:paraId="2884E9C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Thu nhập từ chuyển nhượng chứng khoán</w:t>
      </w:r>
      <w:r w:rsidRPr="00DA2E6E">
        <w:rPr>
          <w:rFonts w:ascii="Times New Roman" w:hAnsi="Times New Roman"/>
          <w:color w:val="000000"/>
        </w:rPr>
        <w:t>;</w:t>
      </w:r>
    </w:p>
    <w:p w14:paraId="0E09DF3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Thu nhập từ chuyển nhượng vốn dưới các hình thức khác.</w:t>
      </w:r>
    </w:p>
    <w:p w14:paraId="2BC461D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5. Thu nhập từ chuyển nhượng bất động sản, bao gồm:</w:t>
      </w:r>
    </w:p>
    <w:p w14:paraId="27E99B4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Thu nhập từ chuyển nhượng quyền sử dụng đất và tài sản gắn liền với đất;</w:t>
      </w:r>
    </w:p>
    <w:p w14:paraId="47F661B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Thu nhập từ chuyển nhượng quyền sở hữu hoặc sử dụng nhà ở;</w:t>
      </w:r>
    </w:p>
    <w:p w14:paraId="520F4D1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Thu nhập từ chuyển nhượng quyền thuê đất, quyền thuê mặt nước;</w:t>
      </w:r>
    </w:p>
    <w:p w14:paraId="300C9018"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d) Các khoản thu nhập khác nhận được từ chuyển nhượng bất động sản dưới mọi hình thức.</w:t>
      </w:r>
    </w:p>
    <w:p w14:paraId="6D00B96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6. Thu nhập từ trúng thưởng, bao gồm:</w:t>
      </w:r>
    </w:p>
    <w:p w14:paraId="4FD6096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Trúng thưởng xổ số;</w:t>
      </w:r>
    </w:p>
    <w:p w14:paraId="61336B7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Trúng thưởng trong các hình thức khuyến mại;</w:t>
      </w:r>
    </w:p>
    <w:p w14:paraId="0CAF87A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Trúng thưởng trong các hình thức đặt cược;</w:t>
      </w:r>
    </w:p>
    <w:p w14:paraId="44F40B6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d) Trúng thưởng trong các trò chơi, cuộc thi có thưởng và các hình thức trúng thưởng khác, trừ trúng thưởng trong ca</w:t>
      </w:r>
      <w:r w:rsidR="00AB1DF0" w:rsidRPr="00DA2E6E">
        <w:rPr>
          <w:rFonts w:ascii="Times New Roman" w:hAnsi="Times New Roman"/>
          <w:color w:val="000000"/>
        </w:rPr>
        <w:t>-</w:t>
      </w:r>
      <w:r w:rsidRPr="00DA2E6E">
        <w:rPr>
          <w:rFonts w:ascii="Times New Roman" w:hAnsi="Times New Roman"/>
          <w:color w:val="000000"/>
        </w:rPr>
        <w:t>si</w:t>
      </w:r>
      <w:r w:rsidR="00AB1DF0" w:rsidRPr="00DA2E6E">
        <w:rPr>
          <w:rFonts w:ascii="Times New Roman" w:hAnsi="Times New Roman"/>
          <w:color w:val="000000"/>
        </w:rPr>
        <w:t>-</w:t>
      </w:r>
      <w:r w:rsidRPr="00DA2E6E">
        <w:rPr>
          <w:rFonts w:ascii="Times New Roman" w:hAnsi="Times New Roman"/>
          <w:color w:val="000000"/>
        </w:rPr>
        <w:t>no.</w:t>
      </w:r>
    </w:p>
    <w:p w14:paraId="616734C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7. Thu nhập từ tiền bản quyền, bao gồm:</w:t>
      </w:r>
    </w:p>
    <w:p w14:paraId="4F61A55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Thu nhập từ chuyển giao, chuyển quyền sử dụng các đối tượng của quyền sở hữu trí tuệ;</w:t>
      </w:r>
    </w:p>
    <w:p w14:paraId="7011DB8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Thu nhập từ chuyển giao công nghệ.</w:t>
      </w:r>
    </w:p>
    <w:p w14:paraId="781F450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lastRenderedPageBreak/>
        <w:t>8. Thu nhập từ nhượng quyền thương mại.</w:t>
      </w:r>
    </w:p>
    <w:p w14:paraId="62A7CA9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9. Thu nhập từ nhận thừa kế, quà tặng là chứng khoán, phần vốn trong các tổ chức kinh tế, cơ sở kinh doanh, bất động sản và các tài sản</w:t>
      </w:r>
      <w:r w:rsidRPr="00DA2E6E">
        <w:rPr>
          <w:rFonts w:ascii="Times New Roman" w:hAnsi="Times New Roman"/>
          <w:color w:val="000000"/>
        </w:rPr>
        <w:t xml:space="preserve"> phải đăng ký sở hữu hoặc đăng ký sử dụng.</w:t>
      </w:r>
    </w:p>
    <w:p w14:paraId="5A1349AF"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10. Thu nhập khác, bao gồm:</w:t>
      </w:r>
    </w:p>
    <w:p w14:paraId="30FEA81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a) Thu nhập từ chuyển nhượng tên miền quốc gia Việt Nam </w:t>
      </w:r>
      <w:r w:rsidR="00DE18FB" w:rsidRPr="00DA2E6E">
        <w:rPr>
          <w:rFonts w:ascii="Times New Roman" w:hAnsi="Times New Roman"/>
          <w:color w:val="000000"/>
        </w:rPr>
        <w:t>“</w:t>
      </w:r>
      <w:r w:rsidRPr="00DA2E6E">
        <w:rPr>
          <w:rFonts w:ascii="Times New Roman" w:hAnsi="Times New Roman"/>
          <w:color w:val="000000"/>
        </w:rPr>
        <w:t>.vn</w:t>
      </w:r>
      <w:r w:rsidR="00DE18FB" w:rsidRPr="00DA2E6E">
        <w:rPr>
          <w:rFonts w:ascii="Times New Roman" w:hAnsi="Times New Roman"/>
          <w:color w:val="000000"/>
        </w:rPr>
        <w:t>”</w:t>
      </w:r>
      <w:r w:rsidRPr="00DA2E6E">
        <w:rPr>
          <w:rFonts w:ascii="Times New Roman" w:hAnsi="Times New Roman"/>
          <w:color w:val="000000"/>
        </w:rPr>
        <w:t>;</w:t>
      </w:r>
    </w:p>
    <w:p w14:paraId="3482B12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Thu nhập từ chuyển nhượng kết quả giảm phát thải khí nhà kính, tín chỉ các-bon;</w:t>
      </w:r>
    </w:p>
    <w:p w14:paraId="14D2ED4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Thu nhập từ chuyển nhượng biển số xe trúng đấu giá theo quy định của pháp luật;</w:t>
      </w:r>
    </w:p>
    <w:p w14:paraId="7AE4800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d) Thu nhập từ chuyển nhượng tài sản số;</w:t>
      </w:r>
    </w:p>
    <w:p w14:paraId="2B11375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đ) Thu nhập từ chuyển nhượng vàng miếng.</w:t>
      </w:r>
    </w:p>
    <w:p w14:paraId="4E85869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Chính phủ quy định ngưỡng giá trị vàng miếng chịu thuế, thời điểm áp dụng thu và điều chỉnh thuế suất thuế thu nhập cá nhân đối vớ</w:t>
      </w:r>
      <w:r w:rsidRPr="00DA2E6E">
        <w:rPr>
          <w:rFonts w:ascii="Times New Roman" w:hAnsi="Times New Roman"/>
          <w:color w:val="000000"/>
        </w:rPr>
        <w:t>i chuyển nhượng vàng miếng phù hợp với lộ trình quản lý thị trường vàng.</w:t>
      </w:r>
    </w:p>
    <w:p w14:paraId="7388EAE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11. Chính phủ quy định chi tiết Điều này và việc quy đổi thu nhập chịu thuế nhận được không bằng tiền, không bằng đồng Việt Nam.</w:t>
      </w:r>
    </w:p>
    <w:p w14:paraId="66A7910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4. Thu nhập được miễn thuế</w:t>
      </w:r>
    </w:p>
    <w:p w14:paraId="4573AAE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w:t>
      </w:r>
      <w:r w:rsidRPr="00DA2E6E">
        <w:rPr>
          <w:rFonts w:ascii="Times New Roman" w:hAnsi="Times New Roman"/>
          <w:color w:val="000000"/>
        </w:rPr>
        <w:t>ị, em ruột với nhau.</w:t>
      </w:r>
    </w:p>
    <w:p w14:paraId="01707FA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từ chuyển nhượng nhà ở, quyền sử dụng đất ở và tài sản gắn liền với đất ở của cá nhân trong trường hợp cá nhân chỉ có một nhà ở, đất ở duy nhất tại Việt Nam.</w:t>
      </w:r>
    </w:p>
    <w:p w14:paraId="53DE807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Thu nhập từ giá trị quyền sử dụng đất của cá nhân được Nhà nước giao đất.</w:t>
      </w:r>
    </w:p>
    <w:p w14:paraId="19F40C3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w:t>
      </w:r>
      <w:r w:rsidRPr="00DA2E6E">
        <w:rPr>
          <w:rFonts w:ascii="Times New Roman" w:hAnsi="Times New Roman"/>
          <w:color w:val="000000"/>
        </w:rPr>
        <w:t xml:space="preserve">hần của thành viên hợp tác xã, liên hiệp hợp tác xã nông nghiệp, cá nhân là nông dân ký kết hợp đồng với doanh nghiệp tham gia </w:t>
      </w:r>
      <w:r w:rsidR="00DE18FB" w:rsidRPr="00DA2E6E">
        <w:rPr>
          <w:rFonts w:ascii="Times New Roman" w:hAnsi="Times New Roman"/>
          <w:color w:val="000000"/>
        </w:rPr>
        <w:t>“</w:t>
      </w:r>
      <w:r w:rsidRPr="00DA2E6E">
        <w:rPr>
          <w:rFonts w:ascii="Times New Roman" w:hAnsi="Times New Roman"/>
          <w:color w:val="000000"/>
        </w:rPr>
        <w:t>Cánh đồng lớn</w:t>
      </w:r>
      <w:r w:rsidR="00DE18FB" w:rsidRPr="00DA2E6E">
        <w:rPr>
          <w:rFonts w:ascii="Times New Roman" w:hAnsi="Times New Roman"/>
          <w:color w:val="000000"/>
        </w:rPr>
        <w:t>”</w:t>
      </w:r>
      <w:r w:rsidRPr="00DA2E6E">
        <w:rPr>
          <w:rFonts w:ascii="Times New Roman" w:hAnsi="Times New Roman"/>
          <w:color w:val="000000"/>
        </w:rPr>
        <w:t>, trồng rừng sản xuất, nuôi trồng thủy sản.</w:t>
      </w:r>
    </w:p>
    <w:p w14:paraId="4284450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5. Thu nhập từ chuyển đổi đất nông nghiệp của hộ gia đình, cá nhân được Nhà nước giao để sản xuất.</w:t>
      </w:r>
    </w:p>
    <w:p w14:paraId="67593B9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6. Thu nhập từ lãi trái phiếu chính phủ, lãi trái phiếu chính quyền địa phương, lãi tiền gửi tại tổ chức tín dụng, lãi từ hợp đồng bảo hiểm nhân thọ.</w:t>
      </w:r>
    </w:p>
    <w:p w14:paraId="654F069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7. Thu nhập từ kiều hối.</w:t>
      </w:r>
    </w:p>
    <w:p w14:paraId="23BC8B5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8. Tiền lương làm việc ban đêm, làm thêm giờ, tiền l</w:t>
      </w:r>
      <w:r w:rsidRPr="00DA2E6E">
        <w:rPr>
          <w:rFonts w:ascii="Times New Roman" w:hAnsi="Times New Roman"/>
          <w:color w:val="000000"/>
        </w:rPr>
        <w:t>ương, tiền công trả cho những ngày không nghỉ phép theo quy định của pháp luật.</w:t>
      </w:r>
    </w:p>
    <w:p w14:paraId="1339B90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9. Tiền lương hưu do Quỹ bảo hiểm xã hội chi trả; thu nhập do quỹ bảo hiểm hưu trí bổ sung, quỹ hưu trí tự nguyện chi trả.</w:t>
      </w:r>
    </w:p>
    <w:p w14:paraId="287C457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10. Thu nhập từ học bổng, bao gồm:</w:t>
      </w:r>
    </w:p>
    <w:p w14:paraId="4282C798"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Học bổng nhận được từ ngân sách nhà nước;</w:t>
      </w:r>
    </w:p>
    <w:p w14:paraId="2E2FDD6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Học bổng nhận được từ tổ chức trong nước và ngoài nước theo chương trình hỗ trợ khuyến học của tổ chức đó.</w:t>
      </w:r>
    </w:p>
    <w:p w14:paraId="7D4C667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11. Thu nhập từ bồi thường hợp đồng bảo hiểm nhân thọ,</w:t>
      </w:r>
      <w:r w:rsidR="00AB1DF0" w:rsidRPr="00DA2E6E">
        <w:rPr>
          <w:rFonts w:ascii="Times New Roman" w:hAnsi="Times New Roman"/>
          <w:color w:val="000000"/>
        </w:rPr>
        <w:t xml:space="preserve"> </w:t>
      </w:r>
      <w:r w:rsidRPr="00DA2E6E">
        <w:rPr>
          <w:rFonts w:ascii="Times New Roman" w:hAnsi="Times New Roman"/>
          <w:color w:val="000000"/>
        </w:rPr>
        <w:t>phi nhân thọ, tiền bồi thường tai nạn lao động, khoản bồi thường</w:t>
      </w:r>
      <w:r w:rsidRPr="00DA2E6E">
        <w:rPr>
          <w:rFonts w:ascii="Times New Roman" w:hAnsi="Times New Roman"/>
          <w:color w:val="000000"/>
        </w:rPr>
        <w:t xml:space="preserve"> nhà nước và các khoản bồi thường khác theo quy định của pháp luật.</w:t>
      </w:r>
    </w:p>
    <w:p w14:paraId="7703E51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12. Thu nhập nhận được từ các tổ chức và quỹ từ thiện được cơ quan nhà</w:t>
      </w:r>
      <w:r w:rsidR="00AB1DF0" w:rsidRPr="00DA2E6E">
        <w:rPr>
          <w:rFonts w:ascii="Times New Roman" w:hAnsi="Times New Roman"/>
          <w:color w:val="000000"/>
        </w:rPr>
        <w:t xml:space="preserve"> </w:t>
      </w:r>
      <w:r w:rsidRPr="00DA2E6E">
        <w:rPr>
          <w:rFonts w:ascii="Times New Roman" w:hAnsi="Times New Roman"/>
          <w:color w:val="000000"/>
        </w:rPr>
        <w:t>nước có thẩm quyền cho phép thành lập hoặc công nhận, hoạt động vì mục đích từ thiện, nhân đạo, không vì mục</w:t>
      </w:r>
      <w:r w:rsidR="00AB1DF0" w:rsidRPr="00DA2E6E">
        <w:rPr>
          <w:rFonts w:ascii="Times New Roman" w:hAnsi="Times New Roman"/>
          <w:color w:val="000000"/>
        </w:rPr>
        <w:t xml:space="preserve"> </w:t>
      </w:r>
      <w:r w:rsidRPr="00DA2E6E">
        <w:rPr>
          <w:rFonts w:ascii="Times New Roman" w:hAnsi="Times New Roman"/>
          <w:color w:val="000000"/>
        </w:rPr>
        <w:t>tiêu lợi nhuận.</w:t>
      </w:r>
    </w:p>
    <w:p w14:paraId="6B78283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13. Thu nhập nhận được từ nguồn viện trợ nước ngoài vì mục đích từ thiện, nhân đạo dưới hình thức chính phủ và phi chính phủ được cơ quan nhà nước có thẩm quyền phê duyệt.</w:t>
      </w:r>
    </w:p>
    <w:p w14:paraId="7BAC0B9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14. Thu nhập từ tiền lương, tiền công của thuyền viên là người Việt Nam làm </w:t>
      </w:r>
      <w:r w:rsidRPr="00DA2E6E">
        <w:rPr>
          <w:rFonts w:ascii="Times New Roman" w:hAnsi="Times New Roman"/>
          <w:color w:val="000000"/>
        </w:rPr>
        <w:t>việc cho các hãng tàu nước ngoài hoặc các hãng tàu Việt Nam vận tải quốc tế.</w:t>
      </w:r>
    </w:p>
    <w:p w14:paraId="1244931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15. Thu nhập của cá nhân là chủ tàu, cá nhân có quyền sử dụng tàu và cá nhân làm việc trên tàu từ hoạt động cung cấp hàng hóa, dịch vụ trực tiếp phục vụ hoạt động khai thác, đánh bắt thủy sản xa bờ.</w:t>
      </w:r>
    </w:p>
    <w:p w14:paraId="6BCAC17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16. Thu nhập từ chuyển nhượng lần đầu kết quả giảm phát thải khí nhà kính của cá nhân được công nhận kết quả giảm phát thải khí nhà kính, tín chỉ các-bon của cá nhân được cấp tín chỉ các-bon; thu nhập từ tiền lãi trái phiếu xanh; thu nh</w:t>
      </w:r>
      <w:r w:rsidRPr="00DA2E6E">
        <w:rPr>
          <w:rFonts w:ascii="Times New Roman" w:hAnsi="Times New Roman"/>
          <w:color w:val="000000"/>
        </w:rPr>
        <w:t>ập từ chuyển nhượng lần đầu trái phiếu xanh sau khi phát hành.</w:t>
      </w:r>
    </w:p>
    <w:p w14:paraId="5C6D380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17. Thu nhập từ tiền lương, tiền công từ thực hiện nhiệm vụ khoa học, công nghệ và đổi mới sáng tạo.</w:t>
      </w:r>
    </w:p>
    <w:p w14:paraId="650BC5D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18.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14:paraId="0FB21D7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19. Thu nhập của nhà đầu tư cá nhân, chuyên gia từ dự án khởi nghiệp sáng tạo, sáng lập viên cho doanh nghiệp khởi nghiệp s</w:t>
      </w:r>
      <w:r w:rsidRPr="00DA2E6E">
        <w:rPr>
          <w:rFonts w:ascii="Times New Roman" w:hAnsi="Times New Roman"/>
          <w:color w:val="000000"/>
        </w:rPr>
        <w:t>áng tạo, nhà đầu tư cá nhân góp vốn vào quỹ đầu tư mạo hiểm.</w:t>
      </w:r>
    </w:p>
    <w:p w14:paraId="3F20BC2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20.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14:paraId="65DE721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21. Thu nhập sau khi đã nộp thuế thu nhập doanh nghiệp của cá nhân là </w:t>
      </w:r>
      <w:r w:rsidRPr="00DA2E6E">
        <w:rPr>
          <w:rFonts w:ascii="Times New Roman" w:hAnsi="Times New Roman"/>
          <w:color w:val="000000"/>
        </w:rPr>
        <w:t>chủ doanh nghiệp tư nhân, cá nhân là chủ công ty trách nhiệm hữu hạn một thành viên.</w:t>
      </w:r>
    </w:p>
    <w:p w14:paraId="21CCB5D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22. Chính phủ quy định chi tiết Điều này.</w:t>
      </w:r>
    </w:p>
    <w:p w14:paraId="4569349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5. Các trường hợp miễn thuế, giảm thuế khác</w:t>
      </w:r>
    </w:p>
    <w:p w14:paraId="7012D71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Người nộp thuế gặp khó khăn do thiên tai, dịch bệnh, hỏa hoạn, tai nạn, bệnh hiểm nghèo ảnh hưởng đến khả năng nộp thuế thì được giảm thuế tương ứng với mức độ thiệt hại nhưng không vượt quá số thuế phải nộp.</w:t>
      </w:r>
    </w:p>
    <w:p w14:paraId="1DD1CE6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Miễn thuế thu nhập cá nhân trong thời hạn 05 năm đối với thu nhập từ tiền lương, tiền công của cá nhân là nhân lực công n</w:t>
      </w:r>
      <w:r w:rsidRPr="00DA2E6E">
        <w:rPr>
          <w:rFonts w:ascii="Times New Roman" w:hAnsi="Times New Roman"/>
          <w:color w:val="000000"/>
        </w:rPr>
        <w:t>ghiệp công nghệ số chất lượng cao thuộc các trường hợp sau:</w:t>
      </w:r>
    </w:p>
    <w:p w14:paraId="14E8A28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Thu nhập từ dự án hoạt động công nghiệp công nghệ số trong khu công nghệ số tập trung;</w:t>
      </w:r>
    </w:p>
    <w:p w14:paraId="3BB0161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Thu nhập từ dự án nghiên cứu và phát triển, sản xuất sản phẩm công nghệ số trọng điểm, chip bán dẫn, hệ thống trí tuệ nhân tạo;</w:t>
      </w:r>
    </w:p>
    <w:p w14:paraId="6D4B822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Thu nhập từ các hoạt động đào tạo nhân lực công nghiệp công nghệ số.</w:t>
      </w:r>
    </w:p>
    <w:p w14:paraId="04CC4B2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3. Miễn thuế thu nhập cá nhân trong thời hạn 05 năm đối với thu nhập từ tiền lương, tiền công của cá nhân là nhân lực công nghệ cao thực hiện hoạt động nghiên </w:t>
      </w:r>
      <w:r w:rsidRPr="00DA2E6E">
        <w:rPr>
          <w:rFonts w:ascii="Times New Roman" w:hAnsi="Times New Roman"/>
          <w:color w:val="000000"/>
        </w:rPr>
        <w:t>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w:t>
      </w:r>
    </w:p>
    <w:p w14:paraId="2C6B501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Miễn thuế thu nhập cá nhân đối với chuyển nhượng chứng chỉ quỹ mở thành lập theo quy định của pháp luật về chứng khoán được nắm giữ từ 02 năm trở lên kể từ ngày mua.</w:t>
      </w:r>
    </w:p>
    <w:p w14:paraId="2BEB413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5. Giảm 50% thuế thu nhập cá nhân đối với lợi tức của nhà đầu tư cá nhân được chia từ quỹ đầu tư chứng k</w:t>
      </w:r>
      <w:r w:rsidRPr="00DA2E6E">
        <w:rPr>
          <w:rFonts w:ascii="Times New Roman" w:hAnsi="Times New Roman"/>
          <w:color w:val="000000"/>
        </w:rPr>
        <w:t>hoán, quỹ đầu tư bất động sản thành lập theo quy định của Luật Chứng khoán trong thời hạn do Chính phủ quy định.</w:t>
      </w:r>
    </w:p>
    <w:p w14:paraId="7B30C44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6. Chính phủ quy định chi tiết Điều này.</w:t>
      </w:r>
    </w:p>
    <w:p w14:paraId="18E78D1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6. Quản lý thuế đối với thuế thu nhập cá nhân</w:t>
      </w:r>
    </w:p>
    <w:p w14:paraId="061CCAB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w:t>
      </w:r>
      <w:r w:rsidRPr="00DA2E6E">
        <w:rPr>
          <w:rFonts w:ascii="Times New Roman" w:hAnsi="Times New Roman"/>
          <w:color w:val="000000"/>
        </w:rPr>
        <w: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Luật Quản lý thuế.</w:t>
      </w:r>
    </w:p>
    <w:p w14:paraId="199A28D3"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4A1CE5AB"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Chương II</w:t>
      </w:r>
    </w:p>
    <w:p w14:paraId="51A3A1BE" w14:textId="77777777" w:rsidR="00875C9A" w:rsidRPr="00DA2E6E" w:rsidRDefault="0041076F" w:rsidP="00DA2E6E">
      <w:pPr>
        <w:adjustRightInd w:val="0"/>
        <w:snapToGrid w:val="0"/>
        <w:spacing w:after="0" w:line="240" w:lineRule="auto"/>
        <w:jc w:val="center"/>
        <w:rPr>
          <w:rFonts w:ascii="Times New Roman" w:hAnsi="Times New Roman"/>
          <w:b/>
          <w:color w:val="000000"/>
        </w:rPr>
      </w:pPr>
      <w:r w:rsidRPr="00DA2E6E">
        <w:rPr>
          <w:rFonts w:ascii="Times New Roman" w:hAnsi="Times New Roman"/>
          <w:b/>
          <w:color w:val="000000"/>
        </w:rPr>
        <w:t>CĂN CỨ TÍNH THUẾ ĐỐI VỚI CÁ NHÂN CƯ TRÚ</w:t>
      </w:r>
    </w:p>
    <w:p w14:paraId="0D80E0F3"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2442857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7. Thuế thu nhập cá nhân đối với thu nhập từ kinh doanh</w:t>
      </w:r>
    </w:p>
    <w:p w14:paraId="2707397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w:t>
      </w:r>
      <w:r w:rsidR="00CB7E75" w:rsidRPr="00DA2E6E">
        <w:rPr>
          <w:rFonts w:ascii="Times New Roman" w:hAnsi="Times New Roman"/>
          <w:color w:val="000000"/>
        </w:rPr>
        <w:t>.</w:t>
      </w:r>
      <w:r w:rsidR="001A3661">
        <w:rPr>
          <w:rStyle w:val="FootnoteReference"/>
          <w:rFonts w:ascii="Times New Roman" w:hAnsi="Times New Roman"/>
          <w:color w:val="000000"/>
        </w:rPr>
        <w:footnoteReference w:id="2"/>
      </w:r>
      <w:r w:rsidR="00CB7E75" w:rsidRPr="00DA2E6E">
        <w:rPr>
          <w:rFonts w:ascii="Times New Roman" w:hAnsi="Times New Roman"/>
          <w:color w:val="000000"/>
        </w:rPr>
        <w:t xml:space="preserve"> </w:t>
      </w:r>
      <w:r w:rsidRPr="00DA2E6E">
        <w:rPr>
          <w:rFonts w:ascii="Times New Roman" w:hAnsi="Times New Roman"/>
          <w:color w:val="000000"/>
        </w:rPr>
        <w:t>Cá nhân cư trú có hoạt động sản xuất, kinh doanh có doanh thu năm từ mức quy định của Chính phủ trở xuống không phải nộp thuế thu nhập cá nhân. Căn cứ các chỉ s</w:t>
      </w:r>
      <w:r w:rsidRPr="00DA2E6E">
        <w:rPr>
          <w:rFonts w:ascii="Times New Roman" w:hAnsi="Times New Roman"/>
          <w:color w:val="000000"/>
        </w:rPr>
        <w:t>ố kinh tế vĩ mô, khả năng cân đối ngân sách, Chính phủ quy định mức doanh thu năm phù hợp với bối cảnh kinh tế - xã hội trong từng thời kỳ.</w:t>
      </w:r>
    </w:p>
    <w:p w14:paraId="5B34612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Thuế thu nhập cá nhân đối với thu nhập từ kinh doanh của cá nhân cư trú có doanh thu năm trên mức quy định tại khoản 1 Điều này được xác định bằng thu nhập tính thuế nhân (x) với thuế suất. Trong đó:</w:t>
      </w:r>
    </w:p>
    <w:p w14:paraId="037FBD4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Thu nhập tính thuế được xác định bằng doanh thu của hàng hóa, dịch vụ bán ra trừ (-) đi chi phí liên quan đến hoạt động sản xuất, kinh doanh trong kỳ tính thuế;</w:t>
      </w:r>
    </w:p>
    <w:p w14:paraId="568C474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Cá</w:t>
      </w:r>
      <w:r w:rsidRPr="00DA2E6E">
        <w:rPr>
          <w:rFonts w:ascii="Times New Roman" w:hAnsi="Times New Roman"/>
          <w:color w:val="000000"/>
        </w:rPr>
        <w:t xml:space="preserve"> nhân kinh doanh có doanh thu năm trên mức quy định tại khoản 1 Điều này đến 03 tỷ đồng: thuế suất 15%;</w:t>
      </w:r>
    </w:p>
    <w:p w14:paraId="5E97080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Cá nhân kinh doanh có doanh thu năm trên 03 tỷ đồng đến 50 tỷ đồng: thuế suất 17%;</w:t>
      </w:r>
    </w:p>
    <w:p w14:paraId="631C700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d) Cá nhân kinh doanh có doanh thu năm trên 50 tỷ đồng: thuế suất 20%.</w:t>
      </w:r>
    </w:p>
    <w:p w14:paraId="5501A05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Thu nhập từ cho thuê bất động sản quy định tại khoản 4 Điều này không áp dụng cách tính thuế quy định tại khoản này.</w:t>
      </w:r>
    </w:p>
    <w:p w14:paraId="3A7027F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3. Cá nhân kinh doanh có doanh thu năm trên mức quy định tại khoản 1 Điều này đến 03 tỷ đồng được lựa chọn nộp thuế theo quy định tại </w:t>
      </w:r>
      <w:r w:rsidRPr="00DA2E6E">
        <w:rPr>
          <w:rFonts w:ascii="Times New Roman" w:hAnsi="Times New Roman"/>
          <w:color w:val="000000"/>
        </w:rPr>
        <w:t>điểm a và điểm b khoản 2 Điều này hoặc nộp thuế theo thuế suất nhân (x) với doanh thu tính thuế. Doanh thu tính thuế và thuế suất được xác định như sau:</w:t>
      </w:r>
    </w:p>
    <w:p w14:paraId="7BBA98E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Doanh thu tính thuế được xác định bằng phần doanh thu vượt trên mức quy định tại khoản 1 Điều này;</w:t>
      </w:r>
    </w:p>
    <w:p w14:paraId="4087E1A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Phân phối, cung cấp hàng hoá: thuế suất 0,5%;</w:t>
      </w:r>
    </w:p>
    <w:p w14:paraId="37E7BAE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Dịch vụ, xây dựng không bao thầu nguyên vật liệu: thuế suất 2%. Riêng hoạt động cho thuê tài sản, đại lý bảo hiểm, đại lý xổ số, đại lý bán hàng đa cấp: thuế suất 5%;</w:t>
      </w:r>
    </w:p>
    <w:p w14:paraId="4FFADCF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d) Sản xuất, vận tải, dịch vụ có gắn v</w:t>
      </w:r>
      <w:r w:rsidRPr="00DA2E6E">
        <w:rPr>
          <w:rFonts w:ascii="Times New Roman" w:hAnsi="Times New Roman"/>
          <w:color w:val="000000"/>
        </w:rPr>
        <w:t>ới hàng hoá, xây dựng có bao thầu nguyên vật liệu: thuế suất 1,5%;</w:t>
      </w:r>
    </w:p>
    <w:p w14:paraId="65FC5C9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đ) Hoạt động cung cấp sản phẩm và dịch vụ nội dung thông tin số về giải trí, trò chơi điện tử, phim số, ảnh số, nhạc số, quảng cáo số: thuế suất 5%;</w:t>
      </w:r>
    </w:p>
    <w:p w14:paraId="1D7879F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e) Hoạt động kinh doanh khác: thuế suất 1%.</w:t>
      </w:r>
    </w:p>
    <w:p w14:paraId="31EC27F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Cá nhân cho thuê bất động sản, trừ hoạt động kinh doanh lưu trú, nộp thuế thu nhập cá nhân được xác định bằng phần doanh thu vượt trên mức quy định tại khoản 1 Điều này nhân (x) với thuế suất 5%.</w:t>
      </w:r>
    </w:p>
    <w:p w14:paraId="4BC6E94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5. Chính phủ quy định chi tiết Điều này.</w:t>
      </w:r>
    </w:p>
    <w:p w14:paraId="28F036D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8. Thuế</w:t>
      </w:r>
      <w:r w:rsidRPr="00DA2E6E">
        <w:rPr>
          <w:rFonts w:ascii="Times New Roman" w:hAnsi="Times New Roman"/>
          <w:b/>
          <w:color w:val="000000"/>
        </w:rPr>
        <w:t xml:space="preserve"> thu nhập cá nhân đối với thu nhập từ tiền lương, tiền công</w:t>
      </w:r>
    </w:p>
    <w:p w14:paraId="22758F9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Điều 9 của Luật này.</w:t>
      </w:r>
    </w:p>
    <w:p w14:paraId="1313068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tính thuế đối với thu nhập từ tiền lương, tiền công là tổng thu nhập chịu thuế quy định tại khoản 2 Điều 3 của Luật này mà người nộp thuế nhận được trong kỳ tính</w:t>
      </w:r>
      <w:r w:rsidRPr="00DA2E6E">
        <w:rPr>
          <w:rFonts w:ascii="Times New Roman" w:hAnsi="Times New Roman"/>
          <w:color w:val="000000"/>
        </w:rPr>
        <w:t xml:space="preserve">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Điều 10 và Điều 11 của Luật này.</w:t>
      </w:r>
    </w:p>
    <w:p w14:paraId="5BEF0F8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Thời điểm xác định thu nhập tính thuế từ tiền lương, tiền công là thời điểm t</w:t>
      </w:r>
      <w:r w:rsidRPr="00DA2E6E">
        <w:rPr>
          <w:rFonts w:ascii="Times New Roman" w:hAnsi="Times New Roman"/>
          <w:color w:val="000000"/>
        </w:rPr>
        <w:t>ổ chức, cá nhân trả thu nhập cho người nộp thuế hoặc thời điểm người nộp thuế nhận được thu nhập.</w:t>
      </w:r>
    </w:p>
    <w:p w14:paraId="7D32E89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9. Biểu thuế lũy tiến từng phần</w:t>
      </w:r>
    </w:p>
    <w:p w14:paraId="25118DB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Biểu thuế lũy tiến từng phần áp dụng đối với thu nhập tính thuế quy định tại khoản 2 Điều 8 của Luật này.</w:t>
      </w:r>
    </w:p>
    <w:p w14:paraId="2D76B3C5" w14:textId="77777777" w:rsidR="00875C9A"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Biểu thuế lũy tiến từng phần được quy định như sau:</w:t>
      </w:r>
    </w:p>
    <w:p w14:paraId="3DDB63EF" w14:textId="77777777" w:rsidR="001A3661" w:rsidRPr="00DA2E6E" w:rsidRDefault="001A3661" w:rsidP="00DA2E6E">
      <w:pPr>
        <w:spacing w:after="0" w:line="240" w:lineRule="auto"/>
        <w:ind w:firstLine="720"/>
        <w:jc w:val="both"/>
        <w:rPr>
          <w:rFonts w:ascii="Times New Roman" w:hAnsi="Times New Roman"/>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39"/>
        <w:gridCol w:w="3053"/>
        <w:gridCol w:w="2920"/>
        <w:gridCol w:w="1558"/>
      </w:tblGrid>
      <w:tr w:rsidR="00EB01FF" w:rsidRPr="00DA2E6E" w14:paraId="6E2F835F" w14:textId="77777777" w:rsidTr="002B3434">
        <w:trPr>
          <w:trHeight w:val="20"/>
        </w:trPr>
        <w:tc>
          <w:tcPr>
            <w:tcW w:w="554" w:type="pct"/>
            <w:vAlign w:val="center"/>
          </w:tcPr>
          <w:p w14:paraId="249599B9"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Bậc thuế</w:t>
            </w:r>
          </w:p>
        </w:tc>
        <w:tc>
          <w:tcPr>
            <w:tcW w:w="1802" w:type="pct"/>
            <w:vAlign w:val="center"/>
          </w:tcPr>
          <w:p w14:paraId="1A371624"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 xml:space="preserve">Phần thu nhập tính </w:t>
            </w:r>
            <w:r w:rsidR="00CB7E75" w:rsidRPr="00DA2E6E">
              <w:rPr>
                <w:rFonts w:ascii="Times New Roman" w:hAnsi="Times New Roman"/>
                <w:color w:val="000000"/>
              </w:rPr>
              <w:br/>
            </w:r>
            <w:r w:rsidRPr="00DA2E6E">
              <w:rPr>
                <w:rFonts w:ascii="Times New Roman" w:hAnsi="Times New Roman"/>
                <w:color w:val="000000"/>
              </w:rPr>
              <w:t xml:space="preserve">thuế/năm </w:t>
            </w:r>
            <w:r w:rsidR="00CB7E75" w:rsidRPr="00DA2E6E">
              <w:rPr>
                <w:rFonts w:ascii="Times New Roman" w:hAnsi="Times New Roman"/>
                <w:color w:val="000000"/>
              </w:rPr>
              <w:br/>
            </w:r>
            <w:r w:rsidRPr="00DA2E6E">
              <w:rPr>
                <w:rFonts w:ascii="Times New Roman" w:hAnsi="Times New Roman"/>
                <w:color w:val="000000"/>
              </w:rPr>
              <w:t>(triệu đồng)</w:t>
            </w:r>
          </w:p>
        </w:tc>
        <w:tc>
          <w:tcPr>
            <w:tcW w:w="1724" w:type="pct"/>
            <w:vAlign w:val="center"/>
          </w:tcPr>
          <w:p w14:paraId="4E5924F1"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 xml:space="preserve">Phần thu nhập tính </w:t>
            </w:r>
            <w:r w:rsidR="00CB7E75" w:rsidRPr="00DA2E6E">
              <w:rPr>
                <w:rFonts w:ascii="Times New Roman" w:hAnsi="Times New Roman"/>
                <w:color w:val="000000"/>
              </w:rPr>
              <w:br/>
            </w:r>
            <w:r w:rsidRPr="00DA2E6E">
              <w:rPr>
                <w:rFonts w:ascii="Times New Roman" w:hAnsi="Times New Roman"/>
                <w:color w:val="000000"/>
              </w:rPr>
              <w:t xml:space="preserve">thuế/tháng </w:t>
            </w:r>
            <w:r w:rsidR="00CB7E75" w:rsidRPr="00DA2E6E">
              <w:rPr>
                <w:rFonts w:ascii="Times New Roman" w:hAnsi="Times New Roman"/>
                <w:color w:val="000000"/>
              </w:rPr>
              <w:br/>
            </w:r>
            <w:r w:rsidRPr="00DA2E6E">
              <w:rPr>
                <w:rFonts w:ascii="Times New Roman" w:hAnsi="Times New Roman"/>
                <w:color w:val="000000"/>
              </w:rPr>
              <w:t>(triệu đồng)</w:t>
            </w:r>
          </w:p>
        </w:tc>
        <w:tc>
          <w:tcPr>
            <w:tcW w:w="920" w:type="pct"/>
            <w:vAlign w:val="center"/>
          </w:tcPr>
          <w:p w14:paraId="4CEAFE6D"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Thuế suất</w:t>
            </w:r>
            <w:r w:rsidR="00CB7E75" w:rsidRPr="00DA2E6E">
              <w:rPr>
                <w:rFonts w:ascii="Times New Roman" w:hAnsi="Times New Roman"/>
                <w:color w:val="000000"/>
              </w:rPr>
              <w:br/>
            </w:r>
            <w:r w:rsidRPr="00DA2E6E">
              <w:rPr>
                <w:rFonts w:ascii="Times New Roman" w:hAnsi="Times New Roman"/>
                <w:color w:val="000000"/>
              </w:rPr>
              <w:t>(%)</w:t>
            </w:r>
          </w:p>
        </w:tc>
      </w:tr>
      <w:tr w:rsidR="00EB01FF" w:rsidRPr="00DA2E6E" w14:paraId="15F68A4B" w14:textId="77777777" w:rsidTr="002B3434">
        <w:trPr>
          <w:trHeight w:val="20"/>
        </w:trPr>
        <w:tc>
          <w:tcPr>
            <w:tcW w:w="554" w:type="pct"/>
            <w:vAlign w:val="center"/>
          </w:tcPr>
          <w:p w14:paraId="2FCFC34E"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1</w:t>
            </w:r>
          </w:p>
        </w:tc>
        <w:tc>
          <w:tcPr>
            <w:tcW w:w="1802" w:type="pct"/>
            <w:vAlign w:val="center"/>
          </w:tcPr>
          <w:p w14:paraId="50846179"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Đến 120</w:t>
            </w:r>
          </w:p>
        </w:tc>
        <w:tc>
          <w:tcPr>
            <w:tcW w:w="1724" w:type="pct"/>
            <w:vAlign w:val="center"/>
          </w:tcPr>
          <w:p w14:paraId="019C4C82"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Đến 10</w:t>
            </w:r>
          </w:p>
        </w:tc>
        <w:tc>
          <w:tcPr>
            <w:tcW w:w="920" w:type="pct"/>
            <w:vAlign w:val="center"/>
          </w:tcPr>
          <w:p w14:paraId="642FB9C4"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5</w:t>
            </w:r>
          </w:p>
        </w:tc>
      </w:tr>
      <w:tr w:rsidR="00EB01FF" w:rsidRPr="00DA2E6E" w14:paraId="5683285F" w14:textId="77777777" w:rsidTr="002B3434">
        <w:trPr>
          <w:trHeight w:val="20"/>
        </w:trPr>
        <w:tc>
          <w:tcPr>
            <w:tcW w:w="554" w:type="pct"/>
            <w:vAlign w:val="center"/>
          </w:tcPr>
          <w:p w14:paraId="2E242861"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2</w:t>
            </w:r>
          </w:p>
        </w:tc>
        <w:tc>
          <w:tcPr>
            <w:tcW w:w="1802" w:type="pct"/>
            <w:vAlign w:val="center"/>
          </w:tcPr>
          <w:p w14:paraId="3C2DCF81"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Trên 120 đến 360</w:t>
            </w:r>
          </w:p>
        </w:tc>
        <w:tc>
          <w:tcPr>
            <w:tcW w:w="1724" w:type="pct"/>
            <w:vAlign w:val="center"/>
          </w:tcPr>
          <w:p w14:paraId="447E5F88"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Trên 10 đến 30</w:t>
            </w:r>
          </w:p>
        </w:tc>
        <w:tc>
          <w:tcPr>
            <w:tcW w:w="920" w:type="pct"/>
            <w:vAlign w:val="center"/>
          </w:tcPr>
          <w:p w14:paraId="3F23ABD0"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10</w:t>
            </w:r>
          </w:p>
        </w:tc>
      </w:tr>
      <w:tr w:rsidR="00EB01FF" w:rsidRPr="00DA2E6E" w14:paraId="27676297" w14:textId="77777777" w:rsidTr="002B3434">
        <w:trPr>
          <w:trHeight w:val="20"/>
        </w:trPr>
        <w:tc>
          <w:tcPr>
            <w:tcW w:w="554" w:type="pct"/>
            <w:vAlign w:val="center"/>
          </w:tcPr>
          <w:p w14:paraId="00B0AE3D"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3</w:t>
            </w:r>
          </w:p>
        </w:tc>
        <w:tc>
          <w:tcPr>
            <w:tcW w:w="1802" w:type="pct"/>
            <w:vAlign w:val="center"/>
          </w:tcPr>
          <w:p w14:paraId="151918F4"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Trên 360 đến 720</w:t>
            </w:r>
          </w:p>
        </w:tc>
        <w:tc>
          <w:tcPr>
            <w:tcW w:w="1724" w:type="pct"/>
            <w:vAlign w:val="center"/>
          </w:tcPr>
          <w:p w14:paraId="7EDF045B"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Trên 30 đến 60</w:t>
            </w:r>
          </w:p>
        </w:tc>
        <w:tc>
          <w:tcPr>
            <w:tcW w:w="920" w:type="pct"/>
            <w:vAlign w:val="center"/>
          </w:tcPr>
          <w:p w14:paraId="4CB719D8"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20</w:t>
            </w:r>
          </w:p>
        </w:tc>
      </w:tr>
      <w:tr w:rsidR="00EB01FF" w:rsidRPr="00DA2E6E" w14:paraId="20E8C493" w14:textId="77777777" w:rsidTr="002B3434">
        <w:trPr>
          <w:trHeight w:val="20"/>
        </w:trPr>
        <w:tc>
          <w:tcPr>
            <w:tcW w:w="554" w:type="pct"/>
            <w:vAlign w:val="center"/>
          </w:tcPr>
          <w:p w14:paraId="443DFCA5"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4</w:t>
            </w:r>
          </w:p>
        </w:tc>
        <w:tc>
          <w:tcPr>
            <w:tcW w:w="1802" w:type="pct"/>
            <w:vAlign w:val="center"/>
          </w:tcPr>
          <w:p w14:paraId="19120BDA"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w:t>
            </w:r>
            <w:r w:rsidRPr="00DA2E6E">
              <w:rPr>
                <w:rFonts w:ascii="Times New Roman" w:hAnsi="Times New Roman"/>
                <w:color w:val="000000"/>
              </w:rPr>
              <w:t>ên 720 đến 1.200</w:t>
            </w:r>
          </w:p>
        </w:tc>
        <w:tc>
          <w:tcPr>
            <w:tcW w:w="1724" w:type="pct"/>
            <w:vAlign w:val="center"/>
          </w:tcPr>
          <w:p w14:paraId="645D6FBA"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Trên 60 đến 100</w:t>
            </w:r>
          </w:p>
        </w:tc>
        <w:tc>
          <w:tcPr>
            <w:tcW w:w="920" w:type="pct"/>
            <w:vAlign w:val="center"/>
          </w:tcPr>
          <w:p w14:paraId="6F9421FC"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30</w:t>
            </w:r>
          </w:p>
        </w:tc>
      </w:tr>
      <w:tr w:rsidR="00EB01FF" w:rsidRPr="00DA2E6E" w14:paraId="7E8469B8" w14:textId="77777777" w:rsidTr="002B3434">
        <w:trPr>
          <w:trHeight w:val="20"/>
        </w:trPr>
        <w:tc>
          <w:tcPr>
            <w:tcW w:w="554" w:type="pct"/>
            <w:vAlign w:val="center"/>
          </w:tcPr>
          <w:p w14:paraId="1CC9F0FB"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5</w:t>
            </w:r>
          </w:p>
        </w:tc>
        <w:tc>
          <w:tcPr>
            <w:tcW w:w="1802" w:type="pct"/>
            <w:vAlign w:val="center"/>
          </w:tcPr>
          <w:p w14:paraId="0A2E7BCB"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Trên 1.200</w:t>
            </w:r>
          </w:p>
        </w:tc>
        <w:tc>
          <w:tcPr>
            <w:tcW w:w="1724" w:type="pct"/>
            <w:vAlign w:val="center"/>
          </w:tcPr>
          <w:p w14:paraId="344FCD79"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Trên 100</w:t>
            </w:r>
          </w:p>
        </w:tc>
        <w:tc>
          <w:tcPr>
            <w:tcW w:w="920" w:type="pct"/>
            <w:vAlign w:val="center"/>
          </w:tcPr>
          <w:p w14:paraId="748A73AB"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color w:val="000000"/>
              </w:rPr>
              <w:t>35</w:t>
            </w:r>
          </w:p>
        </w:tc>
      </w:tr>
    </w:tbl>
    <w:p w14:paraId="38D8A8C3" w14:textId="77777777" w:rsidR="001A3661" w:rsidRDefault="001A3661" w:rsidP="00DA2E6E">
      <w:pPr>
        <w:spacing w:after="0" w:line="240" w:lineRule="auto"/>
        <w:ind w:firstLine="720"/>
        <w:jc w:val="both"/>
        <w:rPr>
          <w:rFonts w:ascii="Times New Roman" w:hAnsi="Times New Roman"/>
          <w:b/>
          <w:color w:val="000000"/>
        </w:rPr>
      </w:pPr>
    </w:p>
    <w:p w14:paraId="6ACF107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10. Giảm trừ gia cảnh</w:t>
      </w:r>
    </w:p>
    <w:p w14:paraId="24B8687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Giảm trừ gia cảnh là số tiền được trừ vào thu nhập chịu thuế trước khi tính thuế đối với thu nhập từ tiền lương, tiền công của người nộp thuế là cá nhân cư trú. Giảm trừ gia cảnh gồm:</w:t>
      </w:r>
    </w:p>
    <w:p w14:paraId="518CB48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Mức giảm trừ đối với người nộp thuế là 15,5 triệu đồng/tháng (186 triệu đồng/năm);</w:t>
      </w:r>
    </w:p>
    <w:p w14:paraId="1DF5D52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Mức giảm trừ đối với mỗi người phụ thuộc là 6,2 triệu đồng/tháng.</w:t>
      </w:r>
    </w:p>
    <w:p w14:paraId="7AFF825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Căn cứ biến động của giá cả, thu nhập, Chính phủ trình Ủy ban Thường vụ Quốc</w:t>
      </w:r>
      <w:r w:rsidRPr="00DA2E6E">
        <w:rPr>
          <w:rFonts w:ascii="Times New Roman" w:hAnsi="Times New Roman"/>
          <w:color w:val="000000"/>
        </w:rPr>
        <w:t xml:space="preserve"> hội quy định mức giảm trừ gia cảnh quy định tại khoản 1 Điều này phù hợp với tình hình kinh tế - xã hội trong từng thời kỳ.</w:t>
      </w:r>
    </w:p>
    <w:p w14:paraId="3738853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Việc xác định mức giảm trừ gia cảnh đối với người phụ thuộc thực hiện theo nguyên tắc mỗi người phụ thuộc chỉ được tính giảm trừ một lần vào một người nộp thuế.</w:t>
      </w:r>
    </w:p>
    <w:p w14:paraId="0E5B9CF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Người phụ thuộc là người mà người nộp thuế có trách nhiệm nuôi dưỡng, bao gồm:</w:t>
      </w:r>
    </w:p>
    <w:p w14:paraId="6BA1B7F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Con chư</w:t>
      </w:r>
      <w:r w:rsidRPr="00DA2E6E">
        <w:rPr>
          <w:rFonts w:ascii="Times New Roman" w:hAnsi="Times New Roman"/>
          <w:color w:val="000000"/>
        </w:rPr>
        <w:t>a thành niên; con là người mất năng lực hành vi dân sự, người khuyết tật, không có khả năng lao động;</w:t>
      </w:r>
    </w:p>
    <w:p w14:paraId="361AC7A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14:paraId="3C6A64E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 xml:space="preserve">Điều 11. Giảm trừ đối với các </w:t>
      </w:r>
      <w:r w:rsidRPr="00DA2E6E">
        <w:rPr>
          <w:rFonts w:ascii="Times New Roman" w:hAnsi="Times New Roman"/>
          <w:b/>
          <w:color w:val="000000"/>
        </w:rPr>
        <w:t>khoản đóng góp từ thiện, nhân đạo và các khoản giảm trừ khác</w:t>
      </w:r>
    </w:p>
    <w:p w14:paraId="58ADC8D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Cá nhân cư trú được giảm trừ vào thu nhập chịu thuế trước khi tính thuế đối với thu nhập từ tiền lương, tiền công các khoản sau đây:</w:t>
      </w:r>
    </w:p>
    <w:p w14:paraId="1DFE883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Khoản đóng góp từ thiện, nhân đạo, bao gồm:</w:t>
      </w:r>
    </w:p>
    <w:p w14:paraId="48BBA07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Khoản đóng góp vào tổ chức, cơ sở chăm sóc, nuôi dưỡng trẻ em có hoàn cảnh đặc biệt khó khăn, người khuyết tật, người già không nơi nương tựa;</w:t>
      </w:r>
    </w:p>
    <w:p w14:paraId="61078E7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Khoản đóng góp vào quỹ từ thiện, quỹ nhân đạo, quỹ khuyến học;</w:t>
      </w:r>
    </w:p>
    <w:p w14:paraId="79F1E6B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Khoản đóng góp vào các tổ chức có chức năng huy động tài</w:t>
      </w:r>
      <w:r w:rsidRPr="00DA2E6E">
        <w:rPr>
          <w:rFonts w:ascii="Times New Roman" w:hAnsi="Times New Roman"/>
          <w:color w:val="000000"/>
        </w:rPr>
        <w:t xml:space="preserve"> trợ được thành lập và hoạt động theo quy định của pháp luật.</w:t>
      </w:r>
    </w:p>
    <w:p w14:paraId="502BDE4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14:paraId="3DFA483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Khoản chi cho y tế, giáo dục - đào tạo của người nộp thuế, người phụ thuộc của người nộp thuế được giảm trừ vào thu nhập trước khi tính thuế theo mức do Chính phủ quy định.</w:t>
      </w:r>
    </w:p>
    <w:p w14:paraId="45B24A3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3. Các khoản chi quy định tại Điều này phải đáp ứng các điều kiện </w:t>
      </w:r>
      <w:r w:rsidRPr="00DA2E6E">
        <w:rPr>
          <w:rFonts w:ascii="Times New Roman" w:hAnsi="Times New Roman"/>
          <w:color w:val="000000"/>
        </w:rPr>
        <w:t>về hóa đơn, chứng từ theo quy định của pháp luật và không được chi trả từ các nguồn khác.</w:t>
      </w:r>
    </w:p>
    <w:p w14:paraId="63D5013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Chính phủ quy định chi tiết Điều này.</w:t>
      </w:r>
    </w:p>
    <w:p w14:paraId="7D9C2C1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12. Thuế thu nhập cá nhân đối với thu nhập từ đầu tư vốn</w:t>
      </w:r>
    </w:p>
    <w:p w14:paraId="6B534B8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đối với thu nhập từ đầu tư vốn của cá nhân cư trú được xác định bằng thu nhập tính thuế nhân (x) với thuế suất 5%.</w:t>
      </w:r>
    </w:p>
    <w:p w14:paraId="7585ABFF"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tính thuế từ đầu tư vốn là tổng số các khoản thu nhập chịu thuế từ đầu tư vốn quy định tại khoản 3 Điều 3 của Luật này mà người nộp thuế nhận được theo từng lần phát sinh.</w:t>
      </w:r>
    </w:p>
    <w:p w14:paraId="24243EC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Thời điểm</w:t>
      </w:r>
      <w:r w:rsidRPr="00DA2E6E">
        <w:rPr>
          <w:rFonts w:ascii="Times New Roman" w:hAnsi="Times New Roman"/>
          <w:color w:val="000000"/>
        </w:rPr>
        <w:t xml:space="preserve"> xác định thu nhập tính thuế từ đầu tư vốn là thời điểm tổ chức, cá nhân trả thu nhập cho người nộp thuế hoặc thời điểm người nộp thuế nhận được thu nhập.</w:t>
      </w:r>
    </w:p>
    <w:p w14:paraId="1D8892B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Chính phủ quy định chi tiết Điều này.</w:t>
      </w:r>
    </w:p>
    <w:p w14:paraId="1B70273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13. Thuế thu nhập cá nhân đối với thu nhập từ chuyển nhượng vốn</w:t>
      </w:r>
    </w:p>
    <w:p w14:paraId="389DCC3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chuyển nhượng vốn của cá nhân cư trú được xác định bằng thu nhập tính thuế nhân (x) với thuế suất 20% theo từng lần chuyển nhượng. Trong đó, thu nhập tính thuế từ chuyển nhượng vốn được xác định bằng gi</w:t>
      </w:r>
      <w:r w:rsidRPr="00DA2E6E">
        <w:rPr>
          <w:rFonts w:ascii="Times New Roman" w:hAnsi="Times New Roman"/>
          <w:color w:val="000000"/>
        </w:rPr>
        <w:t>á chuyển nhượng trừ (-) đi giá mua và các khoản chi phí hợp lý liên quan đến việc tạo ra thu nhập từ chuyển nhượng vốn.</w:t>
      </w:r>
    </w:p>
    <w:p w14:paraId="18B116C8"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Trường hợp không xác định giá mua và các chi phí liên quan đến việc chuyển nhượng vốn thì thuế thu nhập cá nhân được xác định bằng giá chuyển nhượng nhân (x) với thuế suất 2%.</w:t>
      </w:r>
    </w:p>
    <w:p w14:paraId="5CC3A93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Thuế thu nhập cá nhân đối với thu nhập từ chuyển nhượng chứng khoán được xác định bằng giá chuyển nhượng nhân (x) với thuế suất 0,1% theo từng lần chuyển nhượng.</w:t>
      </w:r>
    </w:p>
    <w:p w14:paraId="59402D9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3. Thời điểm xác định thu nhập tính thuế từ chuyển </w:t>
      </w:r>
      <w:r w:rsidRPr="00DA2E6E">
        <w:rPr>
          <w:rFonts w:ascii="Times New Roman" w:hAnsi="Times New Roman"/>
          <w:color w:val="000000"/>
        </w:rPr>
        <w:t>nhượng vốn là thời điểm giao dịch hoàn thành theo quy định của pháp luật.</w:t>
      </w:r>
    </w:p>
    <w:p w14:paraId="0E2144E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Chính phủ quy định chi tiết Điều này.</w:t>
      </w:r>
    </w:p>
    <w:p w14:paraId="2D5C5BD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14. Thuế thu nhập cá nhân đối với thu nhập từ chuyển nhượng bất động sản</w:t>
      </w:r>
    </w:p>
    <w:p w14:paraId="4B3BCA0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chuyển nhượng bất động sản của cá nhân cư trú được xác định bằng giá chuyển nhượng nhân (x) với thuế suất 2%.</w:t>
      </w:r>
    </w:p>
    <w:p w14:paraId="4FC24B9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Thời điểm xác định thu nhập tính thuế từ chuyển nhượng bất động sản là thời điểm hợp đồng chuyển nhượng có hiệu lực theo quy định của pháp luật hoặc thời điểm đă</w:t>
      </w:r>
      <w:r w:rsidRPr="00DA2E6E">
        <w:rPr>
          <w:rFonts w:ascii="Times New Roman" w:hAnsi="Times New Roman"/>
          <w:color w:val="000000"/>
        </w:rPr>
        <w:t>ng ký quyền sử dụng, quyền sở hữu bất động sản.</w:t>
      </w:r>
    </w:p>
    <w:p w14:paraId="6BDB43B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Chính phủ quy định chi tiết Điều này.</w:t>
      </w:r>
    </w:p>
    <w:p w14:paraId="55C1851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15. Thuế thu nhập cá nhân đối với thu nhập từ trúng thưởng</w:t>
      </w:r>
    </w:p>
    <w:p w14:paraId="7C1CAE3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trúng thưởng của cá nhân cư trú được xác định bằng thu nhập tính thuế nhân (x) với thuế suất 10%.</w:t>
      </w:r>
    </w:p>
    <w:p w14:paraId="7355019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tính thuế từ trúng thưởng là phần giá trị giải thưởng vượt trên 20 triệu đồng mà người nộp thuế nhận được theo từng lần trúng thưởng.</w:t>
      </w:r>
    </w:p>
    <w:p w14:paraId="1F2A2CD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3. Thời điểm xác định thu nhập tính thuế từ trúng thưởng là thời điểm </w:t>
      </w:r>
      <w:r w:rsidRPr="00DA2E6E">
        <w:rPr>
          <w:rFonts w:ascii="Times New Roman" w:hAnsi="Times New Roman"/>
          <w:color w:val="000000"/>
        </w:rPr>
        <w:t>tổ chức, cá nhân trả thu nhập cho người nộp thuế.</w:t>
      </w:r>
    </w:p>
    <w:p w14:paraId="3007C04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16. Thuế thu nhập cá nhân đối với thu nhập từ tiền bản quyền</w:t>
      </w:r>
    </w:p>
    <w:p w14:paraId="34681AC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tiền bản quyền của cá nhân cư trú được tính bằng thu nhập tính thuế nhân (x) với thuế suất 5%.</w:t>
      </w:r>
    </w:p>
    <w:p w14:paraId="18D89DA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w:t>
      </w:r>
    </w:p>
    <w:p w14:paraId="492533E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Thời điểm xác định thu n</w:t>
      </w:r>
      <w:r w:rsidRPr="00DA2E6E">
        <w:rPr>
          <w:rFonts w:ascii="Times New Roman" w:hAnsi="Times New Roman"/>
          <w:color w:val="000000"/>
        </w:rPr>
        <w:t>hập tính thuế từ tiền bản quyền là thời điểm tổ chức, cá nhân trả thu nhập cho người nộp thuế.</w:t>
      </w:r>
    </w:p>
    <w:p w14:paraId="3345517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17. Thuế thu nhập cá nhân đối với thu nhập từ nhượng quyền thương mại</w:t>
      </w:r>
    </w:p>
    <w:p w14:paraId="05539B6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nhượng quyền thương mại của cá nhân cư trú được tính bằng thu nhập tính thuế nhân (x) với thuế suất 5%.</w:t>
      </w:r>
    </w:p>
    <w:p w14:paraId="737C747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tính thuế từ nhượng quyền thương mại là phần thu nhập vượt trên 20 triệu đồng mà người nộp thuế nhận được theo từng hợp đồng nhượng quyền thương mại.</w:t>
      </w:r>
    </w:p>
    <w:p w14:paraId="088DA53F"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3. Thời điểm xác định thu nhập </w:t>
      </w:r>
      <w:r w:rsidRPr="00DA2E6E">
        <w:rPr>
          <w:rFonts w:ascii="Times New Roman" w:hAnsi="Times New Roman"/>
          <w:color w:val="000000"/>
        </w:rPr>
        <w:t>tính thuế từ nhượng quyền thương mại là thời điểm tổ chức, cá nhân trả thu nhập cho người nộp thuế.</w:t>
      </w:r>
    </w:p>
    <w:p w14:paraId="3D09207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18. Thuế thu nhập cá nhân đối với thu nhập từ nhận thừa kế, quà tặng</w:t>
      </w:r>
    </w:p>
    <w:p w14:paraId="222ECF5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nhận thừa kế, quà tặng của cá nhân cư trú được xác định bằng thu nhập tính thuế nhân (x) với thuế suất 10%.</w:t>
      </w:r>
    </w:p>
    <w:p w14:paraId="78D433B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 nhập tính thuế từ nhận thừa kế, quà tặng là phần giá trị tài sản thừa kế, quà tặng vượt trên 20 triệu đồng mà người nộp thuế nhận được theo từng lần phát sinh.</w:t>
      </w:r>
    </w:p>
    <w:p w14:paraId="7FD0AC6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Thời điểm xác đ</w:t>
      </w:r>
      <w:r w:rsidRPr="00DA2E6E">
        <w:rPr>
          <w:rFonts w:ascii="Times New Roman" w:hAnsi="Times New Roman"/>
          <w:color w:val="000000"/>
        </w:rPr>
        <w:t>ịnh thu nhập tính thuế được quy định như sau:</w:t>
      </w:r>
    </w:p>
    <w:p w14:paraId="0373AD3D"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Đối với thu nhập từ nhận thừa kế là thời điểm người nộp thuế nhận được thừa kế;</w:t>
      </w:r>
    </w:p>
    <w:p w14:paraId="07C9B65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Đối với thu nhập từ nhận quà tặng là thời điểm tổ chức, cá nhân tặng cho người nộp thuế hoặc thời điểm người nộp thuế nhận được thu nhập.</w:t>
      </w:r>
    </w:p>
    <w:p w14:paraId="6064A50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Chính phủ quy định chi tiết Điều này.</w:t>
      </w:r>
    </w:p>
    <w:p w14:paraId="101D038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19. Thuế thu nhập cá nhân đối với thu nhập khác</w:t>
      </w:r>
    </w:p>
    <w:p w14:paraId="441DD63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khác của cá nhân cư trú quy định tại các điểm a, b và c khoản 10 Điều 3 của Luật này được xác định bằng th</w:t>
      </w:r>
      <w:r w:rsidRPr="00DA2E6E">
        <w:rPr>
          <w:rFonts w:ascii="Times New Roman" w:hAnsi="Times New Roman"/>
          <w:color w:val="000000"/>
        </w:rPr>
        <w:t>u nhập tính thuế nhân (x) với thuế suất 5%. Trong đó, thu nhập tính thuế là phần thu nhập vượt trên 20 triệu đồng mà người nộp thuế nhận được theo từng lần phát sinh.</w:t>
      </w:r>
    </w:p>
    <w:p w14:paraId="47AF08D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Thuế thu nhập cá nhân đối với thu nhập khác của cá nhân cư trú quy định tại điểm d và điểm đ khoản 10 Điều 3 của Luật này được xác định bằng giá chuyển nhượng nhân (x) với thuế suất 0,1%.</w:t>
      </w:r>
    </w:p>
    <w:p w14:paraId="20F20CC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Thời điểm xác định thu nhập tính thuế là thời điểm tổ chức, cá nhân chi trả thu nhập cho người nộp thuế hoặc thời điểm người nộp thuế nhận được thu nhậ</w:t>
      </w:r>
      <w:r w:rsidRPr="00DA2E6E">
        <w:rPr>
          <w:rFonts w:ascii="Times New Roman" w:hAnsi="Times New Roman"/>
          <w:color w:val="000000"/>
        </w:rPr>
        <w:t>p.</w:t>
      </w:r>
    </w:p>
    <w:p w14:paraId="00E1C3E8"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Chính phủ quy định chi tiết Điều này.</w:t>
      </w:r>
    </w:p>
    <w:p w14:paraId="70254DEE"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622B9B92"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Chương III</w:t>
      </w:r>
    </w:p>
    <w:p w14:paraId="3DFC1C03" w14:textId="77777777" w:rsidR="00875C9A" w:rsidRPr="00DA2E6E" w:rsidRDefault="0041076F" w:rsidP="00DA2E6E">
      <w:pPr>
        <w:adjustRightInd w:val="0"/>
        <w:snapToGrid w:val="0"/>
        <w:spacing w:after="0" w:line="240" w:lineRule="auto"/>
        <w:jc w:val="center"/>
        <w:rPr>
          <w:rFonts w:ascii="Times New Roman" w:hAnsi="Times New Roman"/>
          <w:b/>
          <w:color w:val="000000"/>
        </w:rPr>
      </w:pPr>
      <w:r w:rsidRPr="00DA2E6E">
        <w:rPr>
          <w:rFonts w:ascii="Times New Roman" w:hAnsi="Times New Roman"/>
          <w:b/>
          <w:color w:val="000000"/>
        </w:rPr>
        <w:t>CĂN CỨ TÍNH THUẾ ĐỐI VỚI CÁ NHÂN KHÔNG CƯ TRÚ</w:t>
      </w:r>
    </w:p>
    <w:p w14:paraId="0BCB6F1E"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16728514"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20. Thuế thu nhập cá nhân đối với thu nhập từ kinh doanh</w:t>
      </w:r>
    </w:p>
    <w:p w14:paraId="4268061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14:paraId="2BBD7DB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Doanh thu là toàn bộ tiền bán hàng, tiền gia công, tiền cung ứng dịch vụ kể cả trợ giá, phụ thu, phụ trội mà cá nhân được hưởn</w:t>
      </w:r>
      <w:r w:rsidRPr="00DA2E6E">
        <w:rPr>
          <w:rFonts w:ascii="Times New Roman" w:hAnsi="Times New Roman"/>
          <w:color w:val="000000"/>
        </w:rPr>
        <w:t>g, không phân biệt đã thu được tiền hay chưa thu được tiền, bao gồm cả chi phí do bên mua hàng hoá, dịch vụ trả thay cho cá nhân không cư trú mà không được hoàn trả.</w:t>
      </w:r>
    </w:p>
    <w:p w14:paraId="1F8B95AB"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Trường hợp thỏa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w:t>
      </w:r>
    </w:p>
    <w:p w14:paraId="48F9749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Thuế suất:</w:t>
      </w:r>
    </w:p>
    <w:p w14:paraId="24FAE34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a) Phân phối, cung cấp hàng hoá: 1%;</w:t>
      </w:r>
    </w:p>
    <w:p w14:paraId="47ED0E0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b) Dịch vụ, xây dựng không bao thầu nguyên vật liệu: 5%;</w:t>
      </w:r>
    </w:p>
    <w:p w14:paraId="6C3F0A9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c) Sản xuất, vận tải, dịch vụ có gắn với hàng hoá, xây dựng có bao thầu nguyên vật liệu: 2%;</w:t>
      </w:r>
    </w:p>
    <w:p w14:paraId="49860E9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d) Hoạt động cung cấp sản phẩm và dịch vụ nội dung thông tin số về giải trí, trò chơi điện tử, phim số, ảnh số, nhạc số, quảng cáo: 5%;</w:t>
      </w:r>
    </w:p>
    <w:p w14:paraId="36EB42B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đ) Hoạt động kinh doanh khác: 2%.</w:t>
      </w:r>
    </w:p>
    <w:p w14:paraId="7A6B9B0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21. Thuế thu nhập cá nhân đối với thu nhập từ tiền lương, tiền công</w:t>
      </w:r>
    </w:p>
    <w:p w14:paraId="0D285ED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Thuế thu nhập cá nhân đối với thu nhập từ tiền lương, tiền công của cá nhân không cư trú được xác định bằng tổng số ti</w:t>
      </w:r>
      <w:r w:rsidRPr="00DA2E6E">
        <w:rPr>
          <w:rFonts w:ascii="Times New Roman" w:hAnsi="Times New Roman"/>
          <w:color w:val="000000"/>
        </w:rPr>
        <w:t>ền lương, tiền công mà cá nhân không cư trú nhận được do thực hiện công việc tại Việt Nam nhân (x) với thuế suất 20%, không phân biệt nơi trả thu nhập.</w:t>
      </w:r>
    </w:p>
    <w:p w14:paraId="60CB80EC"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22. Thuế thu nhập cá nhân đối với thu nhập từ đầu tư vốn</w:t>
      </w:r>
    </w:p>
    <w:p w14:paraId="7A1DD29F"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Thuế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14:paraId="6526056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23. Thuế thu nhập cá nhân đối với thu nhập từ chuyển nhượng vốn</w:t>
      </w:r>
    </w:p>
    <w:p w14:paraId="7EA988E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w:t>
      </w:r>
      <w:r w:rsidRPr="00DA2E6E">
        <w:rPr>
          <w:rFonts w:ascii="Times New Roman" w:hAnsi="Times New Roman"/>
          <w:color w:val="000000"/>
        </w:rPr>
        <w:t>. Thuế thu nhập cá nhân đối với thu nhập từ chuyển nhượng vốn của cá nhân không cư trú được xác định bằng thu nhập tính thuế nhân (x) với thuế suất 20% theo từng lần phát sinh, không phân biệt việc chuyển nhượng được thực hiện tại Việt Nam hay tại nước ngoài. 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14:paraId="48F5A28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Trường hợp không xác định </w:t>
      </w:r>
      <w:r w:rsidRPr="00DA2E6E">
        <w:rPr>
          <w:rFonts w:ascii="Times New Roman" w:hAnsi="Times New Roman"/>
          <w:color w:val="000000"/>
        </w:rPr>
        <w:t>được giá mua và các chi phí liên quan đến việc chuyển nhượng vốn thì thuế thu nhập cá nhân được xác định bằng giá chuyển nhượng phần vốn tại tổ chức, cá nhân Việt Nam nhân (x) với thuế suất 2%.</w:t>
      </w:r>
    </w:p>
    <w:p w14:paraId="126970F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Thuế thu nhập cá nhân đối với thu nhập từ chuyển nhượng chứng khoán của cá nhân không cư trú được xác định bằng giá chuyển nhượng nhân (x) với thuế suất 0,1%.</w:t>
      </w:r>
    </w:p>
    <w:p w14:paraId="721F454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Chính phủ quy định chi tiết Điều này.</w:t>
      </w:r>
    </w:p>
    <w:p w14:paraId="34B1088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24. Thuế thu nhập cá nhân đối với thu nhập từ chuyển nhượng bất động sản</w:t>
      </w:r>
    </w:p>
    <w:p w14:paraId="06A05618"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1. Thuế thu nhập cá nhân đối với thu </w:t>
      </w:r>
      <w:r w:rsidRPr="00DA2E6E">
        <w:rPr>
          <w:rFonts w:ascii="Times New Roman" w:hAnsi="Times New Roman"/>
          <w:color w:val="000000"/>
        </w:rPr>
        <w:t>nhập từ chuyển nhượng bất động sản của cá nhân không cư trú được xác định bằng giá chuyển nhượng nhân (x) với thuế suất 2%.</w:t>
      </w:r>
    </w:p>
    <w:p w14:paraId="50139BA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Chính phủ quy định chi tiết Điều này.</w:t>
      </w:r>
    </w:p>
    <w:p w14:paraId="1B4733B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25. Thuế thu nhập cá nhân đối với thu nhập từ tiền bản quyền, nhượng quyền thương mại</w:t>
      </w:r>
    </w:p>
    <w:p w14:paraId="159758A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w:t>
      </w:r>
      <w:r w:rsidRPr="00DA2E6E">
        <w:rPr>
          <w:rFonts w:ascii="Times New Roman" w:hAnsi="Times New Roman"/>
          <w:color w:val="000000"/>
        </w:rPr>
        <w:t xml:space="preserve"> tại Việt Nam nhân (x) với thuế suất 5%.</w:t>
      </w:r>
    </w:p>
    <w:p w14:paraId="6A30FDD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w:t>
      </w:r>
    </w:p>
    <w:p w14:paraId="7486447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26. Thuế thu nhập cá nhân đối với thu nhập từ trúng thưởng, nhận thừa kế, quà tặng</w:t>
      </w:r>
    </w:p>
    <w:p w14:paraId="5DFE827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Thuế thu nhập cá nhân đối với thu nhập từ trúng thưởng, nhận thừa kế, quà tặng của cá nhân không cư trú được xác định bằng phần giá trị vượt trên 20 </w:t>
      </w:r>
      <w:r w:rsidRPr="00DA2E6E">
        <w:rPr>
          <w:rFonts w:ascii="Times New Roman" w:hAnsi="Times New Roman"/>
          <w:color w:val="000000"/>
        </w:rPr>
        <w:t>triệu đồng theo từng lần trúng thưởng, nhận thừa kế, quà tặng tại Việt Nam nhân (x) với thuế suất 10%.</w:t>
      </w:r>
    </w:p>
    <w:p w14:paraId="07E10B3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27. Thuế thu nhập cá nhân đối với thu nhập khác</w:t>
      </w:r>
    </w:p>
    <w:p w14:paraId="5F773476"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Thuế thu nhập cá nhân đối với thu nhập khác của cá nhân không cư trú quy định tại các điểm a, b và c khoản 10 Điều 3 của Luật này được xác định bằng thu nhập tính thuế nhân (x) với thuế suất 5%. Thu nhập tính thuế là phần thu nhập vượt trên 20 triệu đồng mà người nộp thuế nhận được theo từng lần phát sinh.</w:t>
      </w:r>
    </w:p>
    <w:p w14:paraId="7B246EA7"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Thuế thu nhập cá nhân đối với thu nhập khá</w:t>
      </w:r>
      <w:r w:rsidRPr="00DA2E6E">
        <w:rPr>
          <w:rFonts w:ascii="Times New Roman" w:hAnsi="Times New Roman"/>
          <w:color w:val="000000"/>
        </w:rPr>
        <w:t>c của cá nhân không cư trú quy định tại điểm d và điểm đ khoản 10 Điều 3 của Luật này được xác định bằng giá chuyển nhượng nhân (x) với thuế suất 0,1%.</w:t>
      </w:r>
    </w:p>
    <w:p w14:paraId="3FB5EA10"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Chính phủ quy định chi tiết Điều này.</w:t>
      </w:r>
    </w:p>
    <w:p w14:paraId="40E14925"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28. Thời điểm xác định thu nhập tính thuế</w:t>
      </w:r>
    </w:p>
    <w:p w14:paraId="1DBFE86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Thời điểm xác định thu nhập tính thuế đối với thu nhập quy định tại Điều 20 của Luật này là thời điểm cá nhân không cư trú nhận được thu nhập hoặc thời điểm xuất hoá đơn bán hàng hoá, cung cấp dịch vụ.</w:t>
      </w:r>
    </w:p>
    <w:p w14:paraId="6643C10F"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 xml:space="preserve">2. Thời điểm xác định thu nhập tính thuế đối với thu nhập quy định </w:t>
      </w:r>
      <w:r w:rsidRPr="00DA2E6E">
        <w:rPr>
          <w:rFonts w:ascii="Times New Roman" w:hAnsi="Times New Roman"/>
          <w:color w:val="000000"/>
        </w:rPr>
        <w:t>tại các điều 21, 22, 25, 26 và 27 của Luật này là thời điểm tổ chức, cá nhân tại Việt Nam trả thu nhập cho cá nhân không cư trú hoặc thời điểm cá nhân không cư trú nhận được thu nhập.</w:t>
      </w:r>
    </w:p>
    <w:p w14:paraId="50525023"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Thời điểm xác định thu nhập tính thuế đối với thu nhập quy định tại Điều</w:t>
      </w:r>
      <w:r w:rsidR="00EB01FF" w:rsidRPr="00DA2E6E">
        <w:rPr>
          <w:rFonts w:ascii="Times New Roman" w:hAnsi="Times New Roman"/>
          <w:color w:val="000000"/>
        </w:rPr>
        <w:t xml:space="preserve"> </w:t>
      </w:r>
      <w:r w:rsidRPr="00DA2E6E">
        <w:rPr>
          <w:rFonts w:ascii="Times New Roman" w:hAnsi="Times New Roman"/>
          <w:color w:val="000000"/>
        </w:rPr>
        <w:t>23 của Luật này là thời điểm giao dịch hoàn thành theo quy định của pháp luật.</w:t>
      </w:r>
    </w:p>
    <w:p w14:paraId="00D939F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Thời điểm xác định thu nhập tính thuế đối với thu nhập quy định tại Điều</w:t>
      </w:r>
      <w:r w:rsidR="009F6E81" w:rsidRPr="00DA2E6E">
        <w:rPr>
          <w:rFonts w:ascii="Times New Roman" w:hAnsi="Times New Roman"/>
          <w:color w:val="000000"/>
        </w:rPr>
        <w:t xml:space="preserve"> </w:t>
      </w:r>
      <w:r w:rsidRPr="00DA2E6E">
        <w:rPr>
          <w:rFonts w:ascii="Times New Roman" w:hAnsi="Times New Roman"/>
          <w:color w:val="000000"/>
        </w:rPr>
        <w:t xml:space="preserve">24 của Luật này là thời điểm hợp đồng chuyển nhượng có hiệu lực theo quy định của pháp luật hoặc </w:t>
      </w:r>
      <w:r w:rsidRPr="00DA2E6E">
        <w:rPr>
          <w:rFonts w:ascii="Times New Roman" w:hAnsi="Times New Roman"/>
          <w:color w:val="000000"/>
        </w:rPr>
        <w:t>thời điểm đăng ký quyền sử dụng, quyền sở hữu bất động sản.</w:t>
      </w:r>
    </w:p>
    <w:p w14:paraId="28908342"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5. Chính phủ quy định chi tiết Điều này.</w:t>
      </w:r>
    </w:p>
    <w:p w14:paraId="4B083100"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144CB0EB"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Chương IV</w:t>
      </w:r>
    </w:p>
    <w:p w14:paraId="5D2BF658" w14:textId="77777777" w:rsidR="00875C9A" w:rsidRPr="00DA2E6E" w:rsidRDefault="0041076F" w:rsidP="00DA2E6E">
      <w:pPr>
        <w:adjustRightInd w:val="0"/>
        <w:snapToGrid w:val="0"/>
        <w:spacing w:after="0" w:line="240" w:lineRule="auto"/>
        <w:jc w:val="center"/>
        <w:rPr>
          <w:rFonts w:ascii="Times New Roman" w:hAnsi="Times New Roman"/>
          <w:b/>
          <w:color w:val="000000"/>
        </w:rPr>
      </w:pPr>
      <w:r w:rsidRPr="00DA2E6E">
        <w:rPr>
          <w:rFonts w:ascii="Times New Roman" w:hAnsi="Times New Roman"/>
          <w:b/>
          <w:color w:val="000000"/>
        </w:rPr>
        <w:t>ĐIỀU KHOẢN THI HÀNH</w:t>
      </w:r>
      <w:r w:rsidR="001A3661">
        <w:rPr>
          <w:rStyle w:val="FootnoteReference"/>
          <w:rFonts w:ascii="Times New Roman" w:hAnsi="Times New Roman"/>
          <w:b/>
          <w:color w:val="000000"/>
        </w:rPr>
        <w:footnoteReference w:id="3"/>
      </w:r>
    </w:p>
    <w:p w14:paraId="7A96790A" w14:textId="77777777" w:rsidR="00EB01FF" w:rsidRPr="00DA2E6E" w:rsidRDefault="00EB01FF" w:rsidP="00DA2E6E">
      <w:pPr>
        <w:adjustRightInd w:val="0"/>
        <w:snapToGrid w:val="0"/>
        <w:spacing w:after="0" w:line="240" w:lineRule="auto"/>
        <w:jc w:val="center"/>
        <w:rPr>
          <w:rFonts w:ascii="Times New Roman" w:hAnsi="Times New Roman"/>
          <w:color w:val="000000"/>
        </w:rPr>
      </w:pPr>
    </w:p>
    <w:p w14:paraId="79AE641F"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b/>
          <w:color w:val="000000"/>
        </w:rPr>
        <w:t>Điều 29. Hiệu lực thi hành</w:t>
      </w:r>
    </w:p>
    <w:p w14:paraId="32440441"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1. Luật này có hiệu lực thi hành từ ngày 01 tháng 7 năm 2026, trừ trường hợp quy định tại khoản 2 Điều này.</w:t>
      </w:r>
    </w:p>
    <w:p w14:paraId="7664095A"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2. Các quy định liên quan đến thu nhập từ kinh doanh, từ tiền lương, tiền công của cá nhân cư trú áp dụng từ kỳ tính thuế năm 2026.</w:t>
      </w:r>
    </w:p>
    <w:p w14:paraId="76C7B66E"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3. Luật Thuế thu nhập cá nhân số 04/2007/QH12 đã được sửa đổi, bổ sung một số điều theo Luật số 26/2012/QH13, L</w:t>
      </w:r>
      <w:r w:rsidRPr="00DA2E6E">
        <w:rPr>
          <w:rFonts w:ascii="Times New Roman" w:hAnsi="Times New Roman"/>
          <w:color w:val="000000"/>
        </w:rPr>
        <w:t>uật số 71/2014/QH13, Luật số 31/2024/QH15, Luật số 43/2024/QH15, Luật số 48/2024/QH15, Luật số 56/2025/QH15, Luật số 71/2025/QH15 và Luật số 93/2025/QH15 hết hiệu lực kể từ ngày Luật này có hiệu lực thi hành; riêng các quy định liên quan đến thu nhập từ</w:t>
      </w:r>
      <w:r w:rsidR="00EB01FF" w:rsidRPr="00DA2E6E">
        <w:rPr>
          <w:rFonts w:ascii="Times New Roman" w:hAnsi="Times New Roman"/>
          <w:color w:val="000000"/>
        </w:rPr>
        <w:t xml:space="preserve"> </w:t>
      </w:r>
      <w:r w:rsidRPr="00DA2E6E">
        <w:rPr>
          <w:rFonts w:ascii="Times New Roman" w:hAnsi="Times New Roman"/>
          <w:color w:val="000000"/>
        </w:rPr>
        <w:t>kinh doanh, từ tiền lương, tiền công của cá nhân cư trú hết hiệu lực thi hành từ kỳ tính thuế năm 2026.</w:t>
      </w:r>
    </w:p>
    <w:p w14:paraId="66AE9A29" w14:textId="77777777" w:rsidR="00875C9A" w:rsidRPr="00DA2E6E" w:rsidRDefault="0041076F" w:rsidP="00DA2E6E">
      <w:pPr>
        <w:spacing w:after="0" w:line="240" w:lineRule="auto"/>
        <w:ind w:firstLine="720"/>
        <w:jc w:val="both"/>
        <w:rPr>
          <w:rFonts w:ascii="Times New Roman" w:hAnsi="Times New Roman"/>
          <w:color w:val="000000"/>
        </w:rPr>
      </w:pPr>
      <w:r w:rsidRPr="00DA2E6E">
        <w:rPr>
          <w:rFonts w:ascii="Times New Roman" w:hAnsi="Times New Roman"/>
          <w:color w:val="000000"/>
        </w:rPr>
        <w:t>4. Trường hợp có quy định khác nhau về ưu đãi thuế giữa Luật này với Luật Thủ đô, nghị quyết của Quốc hội và giải pháp quy định tại điểm h khoản 8 Điều 10</w:t>
      </w:r>
      <w:r w:rsidRPr="00DA2E6E">
        <w:rPr>
          <w:rFonts w:ascii="Times New Roman" w:hAnsi="Times New Roman"/>
          <w:color w:val="000000"/>
        </w:rPr>
        <w:t xml:space="preserve"> của Luật Tổ chức Chính phủ thì áp dụng theo quy định của Luật Thủ đô, nghị quyết của Quốc hội và giải pháp quy định tại điểm h khoản 8 Điều 10 của Luật Tổ chức Chính phủ. Trường hợp quy định tại Luật này ưu đãi hơn thì người nộp thuế được lựa chọn áp dụng mức ưu đãi có lợi nhất.</w:t>
      </w:r>
    </w:p>
    <w:p w14:paraId="535D0F01" w14:textId="77777777" w:rsidR="00CB7E75" w:rsidRPr="00DA2E6E" w:rsidRDefault="00CB7E75" w:rsidP="00DA2E6E">
      <w:pPr>
        <w:spacing w:after="0" w:line="240" w:lineRule="auto"/>
        <w:jc w:val="center"/>
        <w:rPr>
          <w:rFonts w:ascii="Times New Roman" w:hAnsi="Times New Roman"/>
          <w:color w:val="000000"/>
        </w:rPr>
      </w:pPr>
      <w:r w:rsidRPr="00DA2E6E">
        <w:rPr>
          <w:rFonts w:ascii="Times New Roman" w:hAnsi="Times New Roman"/>
          <w:color w:val="000000"/>
        </w:rPr>
        <w:t>_______________________________________________________________</w:t>
      </w:r>
    </w:p>
    <w:p w14:paraId="341579B9" w14:textId="77777777" w:rsidR="00EB01FF" w:rsidRPr="00DA2E6E" w:rsidRDefault="00EB01FF" w:rsidP="00DA2E6E">
      <w:pPr>
        <w:adjustRightInd w:val="0"/>
        <w:snapToGrid w:val="0"/>
        <w:spacing w:after="0" w:line="240" w:lineRule="auto"/>
        <w:jc w:val="center"/>
        <w:rPr>
          <w:rFonts w:ascii="Times New Roman" w:hAnsi="Times New Roman"/>
          <w:color w:val="000000"/>
        </w:rPr>
      </w:pPr>
    </w:p>
    <w:tbl>
      <w:tblPr>
        <w:tblW w:w="5000" w:type="pct"/>
        <w:tblCellMar>
          <w:left w:w="10" w:type="dxa"/>
          <w:right w:w="10" w:type="dxa"/>
        </w:tblCellMar>
        <w:tblLook w:val="07E0" w:firstRow="1" w:lastRow="1" w:firstColumn="1" w:lastColumn="1" w:noHBand="1" w:noVBand="1"/>
      </w:tblPr>
      <w:tblGrid>
        <w:gridCol w:w="4599"/>
        <w:gridCol w:w="3871"/>
      </w:tblGrid>
      <w:tr w:rsidR="00EB01FF" w:rsidRPr="00DA2E6E" w14:paraId="1F645D42" w14:textId="77777777" w:rsidTr="001A3661">
        <w:tc>
          <w:tcPr>
            <w:tcW w:w="2715" w:type="pct"/>
          </w:tcPr>
          <w:p w14:paraId="36EB7850"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VĂN PHÒNG QUỐC HỘI</w:t>
            </w:r>
            <w:r w:rsidR="00CB7E75" w:rsidRPr="00DA2E6E">
              <w:rPr>
                <w:rFonts w:ascii="Times New Roman" w:hAnsi="Times New Roman"/>
                <w:b/>
                <w:color w:val="000000"/>
              </w:rPr>
              <w:br/>
            </w:r>
            <w:r w:rsidR="00CB7E75" w:rsidRPr="001A3661">
              <w:rPr>
                <w:rFonts w:ascii="Times New Roman" w:hAnsi="Times New Roman"/>
                <w:bCs/>
                <w:color w:val="000000"/>
              </w:rPr>
              <w:t>__________</w:t>
            </w:r>
            <w:r w:rsidR="00EB01FF" w:rsidRPr="001A3661">
              <w:rPr>
                <w:rFonts w:ascii="Times New Roman" w:hAnsi="Times New Roman"/>
                <w:color w:val="000000"/>
              </w:rPr>
              <w:br/>
            </w:r>
            <w:r w:rsidRPr="00DA2E6E">
              <w:rPr>
                <w:rFonts w:ascii="Times New Roman" w:hAnsi="Times New Roman"/>
                <w:color w:val="000000"/>
              </w:rPr>
              <w:t>Số: 112/VBHN-VPQH</w:t>
            </w:r>
          </w:p>
        </w:tc>
        <w:tc>
          <w:tcPr>
            <w:tcW w:w="2285" w:type="pct"/>
          </w:tcPr>
          <w:p w14:paraId="02736132"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XÁC THỰC VĂN BẢN HỢP NHẤT</w:t>
            </w:r>
            <w:r w:rsidR="00CB7E75" w:rsidRPr="00DA2E6E">
              <w:rPr>
                <w:rFonts w:ascii="Times New Roman" w:hAnsi="Times New Roman"/>
                <w:b/>
                <w:color w:val="000000"/>
              </w:rPr>
              <w:br/>
            </w:r>
            <w:r w:rsidR="00EB01FF" w:rsidRPr="00DA2E6E">
              <w:rPr>
                <w:rFonts w:ascii="Times New Roman" w:hAnsi="Times New Roman"/>
                <w:color w:val="000000"/>
              </w:rPr>
              <w:br/>
            </w:r>
            <w:r w:rsidRPr="00DA2E6E">
              <w:rPr>
                <w:rFonts w:ascii="Times New Roman" w:hAnsi="Times New Roman"/>
                <w:i/>
                <w:color w:val="000000"/>
              </w:rPr>
              <w:t>Hà Nội, ngày 20 tháng 5 năm 2026</w:t>
            </w:r>
            <w:r w:rsidR="00CB7E75" w:rsidRPr="00DA2E6E">
              <w:rPr>
                <w:rFonts w:ascii="Times New Roman" w:hAnsi="Times New Roman"/>
                <w:i/>
                <w:color w:val="000000"/>
              </w:rPr>
              <w:br/>
            </w:r>
          </w:p>
        </w:tc>
      </w:tr>
      <w:tr w:rsidR="00EB01FF" w:rsidRPr="00DA2E6E" w14:paraId="2572930A" w14:textId="77777777" w:rsidTr="001A3661">
        <w:tc>
          <w:tcPr>
            <w:tcW w:w="2715" w:type="pct"/>
          </w:tcPr>
          <w:p w14:paraId="685A7941" w14:textId="77777777" w:rsidR="001A3661" w:rsidRDefault="0041076F" w:rsidP="001A3661">
            <w:pPr>
              <w:adjustRightInd w:val="0"/>
              <w:snapToGrid w:val="0"/>
              <w:spacing w:after="0" w:line="240" w:lineRule="auto"/>
              <w:jc w:val="both"/>
              <w:rPr>
                <w:rFonts w:ascii="Times New Roman" w:hAnsi="Times New Roman"/>
                <w:b/>
                <w:i/>
                <w:color w:val="000000"/>
              </w:rPr>
            </w:pPr>
            <w:r w:rsidRPr="00DA2E6E">
              <w:rPr>
                <w:rFonts w:ascii="Times New Roman" w:hAnsi="Times New Roman"/>
                <w:b/>
                <w:i/>
                <w:color w:val="000000"/>
              </w:rPr>
              <w:t>Nơi nhận:</w:t>
            </w:r>
          </w:p>
          <w:p w14:paraId="71EAA002" w14:textId="77777777" w:rsidR="001A3661" w:rsidRDefault="0041076F" w:rsidP="001A3661">
            <w:pPr>
              <w:adjustRightInd w:val="0"/>
              <w:snapToGrid w:val="0"/>
              <w:spacing w:after="0" w:line="240" w:lineRule="auto"/>
              <w:jc w:val="both"/>
              <w:rPr>
                <w:rFonts w:ascii="Times New Roman" w:hAnsi="Times New Roman"/>
                <w:color w:val="000000"/>
              </w:rPr>
            </w:pPr>
            <w:r w:rsidRPr="00DA2E6E">
              <w:rPr>
                <w:rFonts w:ascii="Times New Roman" w:hAnsi="Times New Roman"/>
                <w:color w:val="000000"/>
              </w:rPr>
              <w:t>- Văn phòng Chính phủ (để đăng Công báo);</w:t>
            </w:r>
          </w:p>
          <w:p w14:paraId="51094E0F" w14:textId="77777777" w:rsidR="001A3661" w:rsidRDefault="0041076F" w:rsidP="001A3661">
            <w:pPr>
              <w:adjustRightInd w:val="0"/>
              <w:snapToGrid w:val="0"/>
              <w:spacing w:after="0" w:line="240" w:lineRule="auto"/>
              <w:jc w:val="both"/>
              <w:rPr>
                <w:rFonts w:ascii="Times New Roman" w:hAnsi="Times New Roman"/>
                <w:color w:val="000000"/>
              </w:rPr>
            </w:pPr>
            <w:r w:rsidRPr="00DA2E6E">
              <w:rPr>
                <w:rFonts w:ascii="Times New Roman" w:hAnsi="Times New Roman"/>
                <w:color w:val="000000"/>
              </w:rPr>
              <w:t>- Cụ</w:t>
            </w:r>
            <w:r w:rsidRPr="00DA2E6E">
              <w:rPr>
                <w:rFonts w:ascii="Times New Roman" w:hAnsi="Times New Roman"/>
                <w:color w:val="000000"/>
              </w:rPr>
              <w:t>c KTVB và TCTHPL, Bộ Tư pháp (để đăng trên CSDL Quốc gia về PL);</w:t>
            </w:r>
          </w:p>
          <w:p w14:paraId="6D046D7D" w14:textId="77777777" w:rsidR="001A3661" w:rsidRDefault="0041076F" w:rsidP="001A3661">
            <w:pPr>
              <w:adjustRightInd w:val="0"/>
              <w:snapToGrid w:val="0"/>
              <w:spacing w:after="0" w:line="240" w:lineRule="auto"/>
              <w:jc w:val="both"/>
              <w:rPr>
                <w:rFonts w:ascii="Times New Roman" w:hAnsi="Times New Roman"/>
                <w:color w:val="000000"/>
              </w:rPr>
            </w:pPr>
            <w:r w:rsidRPr="00DA2E6E">
              <w:rPr>
                <w:rFonts w:ascii="Times New Roman" w:hAnsi="Times New Roman"/>
                <w:color w:val="000000"/>
              </w:rPr>
              <w:t xml:space="preserve">- Cục Quản trị, VPQH (để đăng trên </w:t>
            </w:r>
            <w:r w:rsidR="007A2688" w:rsidRPr="00DA2E6E">
              <w:rPr>
                <w:rFonts w:ascii="Times New Roman" w:hAnsi="Times New Roman"/>
                <w:color w:val="000000"/>
              </w:rPr>
              <w:t>C</w:t>
            </w:r>
            <w:r w:rsidRPr="00DA2E6E">
              <w:rPr>
                <w:rFonts w:ascii="Times New Roman" w:hAnsi="Times New Roman"/>
                <w:color w:val="000000"/>
              </w:rPr>
              <w:t>ổng thông tin điện tử của Quốc hội);</w:t>
            </w:r>
          </w:p>
          <w:p w14:paraId="5DE93EA8" w14:textId="77777777" w:rsidR="001A3661" w:rsidRDefault="0041076F" w:rsidP="001A3661">
            <w:pPr>
              <w:adjustRightInd w:val="0"/>
              <w:snapToGrid w:val="0"/>
              <w:spacing w:after="0" w:line="240" w:lineRule="auto"/>
              <w:jc w:val="both"/>
              <w:rPr>
                <w:rFonts w:ascii="Times New Roman" w:hAnsi="Times New Roman"/>
                <w:color w:val="000000"/>
              </w:rPr>
            </w:pPr>
            <w:r w:rsidRPr="00DA2E6E">
              <w:rPr>
                <w:rFonts w:ascii="Times New Roman" w:hAnsi="Times New Roman"/>
                <w:color w:val="000000"/>
              </w:rPr>
              <w:t>- Vụ Chuyển đổi số, VPQH (để đăng trên trang thông tin nội bộ Intranet);</w:t>
            </w:r>
          </w:p>
          <w:p w14:paraId="5815A2C0" w14:textId="77777777" w:rsidR="00875C9A" w:rsidRPr="00DA2E6E" w:rsidRDefault="0041076F" w:rsidP="001A3661">
            <w:pPr>
              <w:adjustRightInd w:val="0"/>
              <w:snapToGrid w:val="0"/>
              <w:spacing w:after="0" w:line="240" w:lineRule="auto"/>
              <w:jc w:val="both"/>
              <w:rPr>
                <w:rFonts w:ascii="Times New Roman" w:hAnsi="Times New Roman"/>
                <w:color w:val="000000"/>
              </w:rPr>
            </w:pPr>
            <w:r w:rsidRPr="00DA2E6E">
              <w:rPr>
                <w:rFonts w:ascii="Times New Roman" w:hAnsi="Times New Roman"/>
                <w:color w:val="000000"/>
              </w:rPr>
              <w:t>- Lưu: HC, TH.</w:t>
            </w:r>
          </w:p>
        </w:tc>
        <w:tc>
          <w:tcPr>
            <w:tcW w:w="2285" w:type="pct"/>
          </w:tcPr>
          <w:p w14:paraId="511172EB" w14:textId="77777777" w:rsidR="00875C9A" w:rsidRPr="00DA2E6E" w:rsidRDefault="0041076F" w:rsidP="00DA2E6E">
            <w:pPr>
              <w:adjustRightInd w:val="0"/>
              <w:snapToGrid w:val="0"/>
              <w:spacing w:after="0" w:line="240" w:lineRule="auto"/>
              <w:jc w:val="center"/>
              <w:rPr>
                <w:rFonts w:ascii="Times New Roman" w:hAnsi="Times New Roman"/>
                <w:color w:val="000000"/>
              </w:rPr>
            </w:pPr>
            <w:r w:rsidRPr="00DA2E6E">
              <w:rPr>
                <w:rFonts w:ascii="Times New Roman" w:hAnsi="Times New Roman"/>
                <w:b/>
                <w:color w:val="000000"/>
              </w:rPr>
              <w:t>CHỦ NHIỆM</w:t>
            </w:r>
            <w:r w:rsidRPr="00DA2E6E">
              <w:rPr>
                <w:rFonts w:ascii="Times New Roman" w:hAnsi="Times New Roman"/>
                <w:color w:val="000000"/>
              </w:rPr>
              <w:br/>
            </w:r>
            <w:r w:rsidRPr="00DA2E6E">
              <w:rPr>
                <w:rFonts w:ascii="Times New Roman" w:hAnsi="Times New Roman"/>
                <w:color w:val="000000"/>
              </w:rPr>
              <w:br/>
            </w:r>
            <w:r w:rsidRPr="00DA2E6E">
              <w:rPr>
                <w:rFonts w:ascii="Times New Roman" w:hAnsi="Times New Roman"/>
                <w:color w:val="000000"/>
              </w:rPr>
              <w:br/>
            </w:r>
            <w:r w:rsidRPr="00DA2E6E">
              <w:rPr>
                <w:rFonts w:ascii="Times New Roman" w:hAnsi="Times New Roman"/>
                <w:color w:val="000000"/>
              </w:rPr>
              <w:br/>
            </w:r>
            <w:r w:rsidRPr="00DA2E6E">
              <w:rPr>
                <w:rFonts w:ascii="Times New Roman" w:hAnsi="Times New Roman"/>
                <w:color w:val="000000"/>
              </w:rPr>
              <w:br/>
            </w:r>
            <w:r w:rsidRPr="00DA2E6E">
              <w:rPr>
                <w:rFonts w:ascii="Times New Roman" w:hAnsi="Times New Roman"/>
                <w:color w:val="000000"/>
              </w:rPr>
              <w:br/>
            </w:r>
            <w:r w:rsidR="00EB01FF" w:rsidRPr="00DA2E6E">
              <w:rPr>
                <w:rFonts w:ascii="Times New Roman" w:hAnsi="Times New Roman"/>
                <w:b/>
                <w:color w:val="000000"/>
              </w:rPr>
              <w:br/>
            </w:r>
            <w:r w:rsidR="00EB01FF" w:rsidRPr="00DA2E6E">
              <w:rPr>
                <w:rFonts w:ascii="Times New Roman" w:hAnsi="Times New Roman"/>
                <w:b/>
                <w:color w:val="000000"/>
              </w:rPr>
              <w:br/>
            </w:r>
            <w:r w:rsidRPr="00DA2E6E">
              <w:rPr>
                <w:rFonts w:ascii="Times New Roman" w:hAnsi="Times New Roman"/>
                <w:b/>
                <w:color w:val="000000"/>
              </w:rPr>
              <w:t>Lê Quang Mạnh</w:t>
            </w:r>
          </w:p>
        </w:tc>
      </w:tr>
    </w:tbl>
    <w:p w14:paraId="377FAF2A" w14:textId="77777777" w:rsidR="00CB7E75" w:rsidRPr="00DA2E6E" w:rsidRDefault="00CB7E75" w:rsidP="001A3661">
      <w:pPr>
        <w:spacing w:after="0" w:line="240" w:lineRule="auto"/>
        <w:ind w:firstLine="720"/>
        <w:jc w:val="both"/>
        <w:rPr>
          <w:rFonts w:ascii="Times New Roman" w:hAnsi="Times New Roman"/>
          <w:color w:val="000000"/>
        </w:rPr>
      </w:pPr>
    </w:p>
    <w:sectPr w:rsidR="00CB7E75" w:rsidRPr="00DA2E6E" w:rsidSect="00DA2E6E">
      <w:pgSz w:w="11906" w:h="16838" w:code="9"/>
      <w:pgMar w:top="1440" w:right="1728" w:bottom="1440"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C941" w14:textId="77777777" w:rsidR="0041076F" w:rsidRDefault="0041076F">
      <w:pPr>
        <w:spacing w:after="0" w:line="240" w:lineRule="auto"/>
      </w:pPr>
      <w:r>
        <w:separator/>
      </w:r>
    </w:p>
  </w:endnote>
  <w:endnote w:type="continuationSeparator" w:id="0">
    <w:p w14:paraId="3E1FD8A1" w14:textId="77777777" w:rsidR="0041076F" w:rsidRDefault="00410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29BA1" w14:textId="77777777" w:rsidR="0041076F" w:rsidRDefault="0041076F">
      <w:pPr>
        <w:spacing w:after="0" w:line="240" w:lineRule="auto"/>
      </w:pPr>
      <w:r>
        <w:separator/>
      </w:r>
    </w:p>
  </w:footnote>
  <w:footnote w:type="continuationSeparator" w:id="0">
    <w:p w14:paraId="6B300B60" w14:textId="77777777" w:rsidR="0041076F" w:rsidRDefault="0041076F">
      <w:pPr>
        <w:spacing w:after="0" w:line="240" w:lineRule="auto"/>
      </w:pPr>
      <w:r>
        <w:continuationSeparator/>
      </w:r>
    </w:p>
  </w:footnote>
  <w:footnote w:id="1">
    <w:p w14:paraId="0ACD3276" w14:textId="77777777" w:rsidR="001A3661" w:rsidRPr="001A3661" w:rsidRDefault="001A3661" w:rsidP="001A3661">
      <w:pPr>
        <w:spacing w:after="0" w:line="240" w:lineRule="auto"/>
        <w:ind w:firstLine="720"/>
        <w:jc w:val="both"/>
        <w:rPr>
          <w:rFonts w:ascii="Times New Roman" w:hAnsi="Times New Roman"/>
          <w:color w:val="000000"/>
        </w:rPr>
      </w:pPr>
      <w:r w:rsidRPr="001A3661">
        <w:rPr>
          <w:rStyle w:val="FootnoteReference"/>
          <w:rFonts w:ascii="Times New Roman" w:hAnsi="Times New Roman"/>
        </w:rPr>
        <w:footnoteRef/>
      </w:r>
      <w:r w:rsidRPr="001A3661">
        <w:rPr>
          <w:rFonts w:ascii="Times New Roman" w:hAnsi="Times New Roman"/>
        </w:rPr>
        <w:t xml:space="preserve"> </w:t>
      </w:r>
      <w:r w:rsidRPr="001A3661">
        <w:rPr>
          <w:rFonts w:ascii="Times New Roman" w:hAnsi="Times New Roman"/>
          <w:color w:val="000000"/>
        </w:rPr>
        <w:t>Luật số 09/2026/QH16 sửa đổi, bổ sung một số điều của Luật Thuế thu nhập cá nhân, Luật Thuế giá trị gia tăng, Luật Thuế thu nhập doanh nghiệp và Luật Thuế tiêu thụ đặc biệt có căn cứ ban hành như sau:</w:t>
      </w:r>
    </w:p>
    <w:p w14:paraId="7D158632" w14:textId="77777777" w:rsidR="001A3661" w:rsidRPr="001A3661" w:rsidRDefault="001A3661" w:rsidP="001A3661">
      <w:pPr>
        <w:spacing w:after="0" w:line="240" w:lineRule="auto"/>
        <w:ind w:firstLine="720"/>
        <w:jc w:val="both"/>
        <w:rPr>
          <w:rFonts w:ascii="Times New Roman" w:hAnsi="Times New Roman"/>
          <w:color w:val="000000"/>
        </w:rPr>
      </w:pPr>
      <w:r w:rsidRPr="001A3661">
        <w:rPr>
          <w:rFonts w:ascii="Times New Roman" w:hAnsi="Times New Roman"/>
          <w:i/>
          <w:color w:val="000000"/>
        </w:rPr>
        <w:t>“Căn cứ hiến pháp nước Cộng hoà xã hội chủ nghĩa Việt Nam đã được sửa đổi, bổ sung một số điều theo Nghị quyết số 203/2025/QH15:</w:t>
      </w:r>
    </w:p>
    <w:p w14:paraId="3DCA283F" w14:textId="77777777" w:rsidR="001A3661" w:rsidRPr="001A3661" w:rsidRDefault="001A3661" w:rsidP="001A3661">
      <w:pPr>
        <w:pStyle w:val="FootnoteText"/>
        <w:spacing w:after="0" w:line="240" w:lineRule="auto"/>
        <w:jc w:val="both"/>
        <w:rPr>
          <w:rFonts w:ascii="Times New Roman" w:hAnsi="Times New Roman"/>
          <w:sz w:val="24"/>
          <w:szCs w:val="24"/>
        </w:rPr>
      </w:pPr>
      <w:r w:rsidRPr="001A3661">
        <w:rPr>
          <w:rFonts w:ascii="Times New Roman" w:hAnsi="Times New Roman"/>
          <w:i/>
          <w:color w:val="000000"/>
          <w:sz w:val="24"/>
          <w:szCs w:val="24"/>
        </w:rPr>
        <w:t>Quốc hội ban hành Luật sửa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116/2025/QH15, Luật số 127/2025/QH15, Luật số 133/2025/QH15, Luật số 141/2025/QH15 và Luật số 143/2025/QH15; Luật Thuế tiêu thụ đặc biệt số 66/2025/QH15.”.</w:t>
      </w:r>
    </w:p>
  </w:footnote>
  <w:footnote w:id="2">
    <w:p w14:paraId="0F76CAF0" w14:textId="77777777" w:rsidR="001A3661" w:rsidRPr="001A3661" w:rsidRDefault="001A3661" w:rsidP="001A3661">
      <w:pPr>
        <w:pStyle w:val="FootnoteText"/>
        <w:spacing w:after="0" w:line="240" w:lineRule="auto"/>
        <w:jc w:val="both"/>
        <w:rPr>
          <w:rFonts w:ascii="Times New Roman" w:hAnsi="Times New Roman"/>
          <w:sz w:val="24"/>
          <w:szCs w:val="24"/>
        </w:rPr>
      </w:pPr>
      <w:r w:rsidRPr="001A3661">
        <w:rPr>
          <w:rStyle w:val="FootnoteReference"/>
          <w:rFonts w:ascii="Times New Roman" w:hAnsi="Times New Roman"/>
          <w:sz w:val="24"/>
          <w:szCs w:val="24"/>
        </w:rPr>
        <w:footnoteRef/>
      </w:r>
      <w:r w:rsidRPr="001A3661">
        <w:rPr>
          <w:rFonts w:ascii="Times New Roman" w:hAnsi="Times New Roman"/>
          <w:sz w:val="24"/>
          <w:szCs w:val="24"/>
        </w:rPr>
        <w:t xml:space="preserve"> </w:t>
      </w:r>
      <w:r w:rsidRPr="001A3661">
        <w:rPr>
          <w:rFonts w:ascii="Times New Roman" w:hAnsi="Times New Roman"/>
          <w:color w:val="000000"/>
          <w:sz w:val="24"/>
          <w:szCs w:val="24"/>
        </w:rPr>
        <w:t>Khoản này được sửa đổi, bổ sung theo quy định tại Điều 1 của Luật số 09/2026/QH16 sửa đổi, bổ sung một số điều của Luật Thuế thu nhập cá nhân, Luật Thuế giá trị gia tăng, Luật Thuế thu nhập doanh nghiệp và Luật Thuế tiêu thụ đặc biệt, có hiệu lực kể từ ngày 01 tháng 01 năm 2026.</w:t>
      </w:r>
    </w:p>
  </w:footnote>
  <w:footnote w:id="3">
    <w:p w14:paraId="5B5408B1" w14:textId="77777777" w:rsidR="001A3661" w:rsidRPr="001A3661" w:rsidRDefault="001A3661" w:rsidP="001A3661">
      <w:pPr>
        <w:spacing w:after="0" w:line="240" w:lineRule="auto"/>
        <w:ind w:firstLine="720"/>
        <w:jc w:val="both"/>
        <w:rPr>
          <w:rFonts w:ascii="Times New Roman" w:hAnsi="Times New Roman"/>
          <w:color w:val="000000"/>
        </w:rPr>
      </w:pPr>
      <w:r w:rsidRPr="001A3661">
        <w:rPr>
          <w:rStyle w:val="FootnoteReference"/>
          <w:rFonts w:ascii="Times New Roman" w:hAnsi="Times New Roman"/>
        </w:rPr>
        <w:footnoteRef/>
      </w:r>
      <w:r w:rsidRPr="001A3661">
        <w:rPr>
          <w:rFonts w:ascii="Times New Roman" w:hAnsi="Times New Roman"/>
        </w:rPr>
        <w:t xml:space="preserve"> </w:t>
      </w:r>
      <w:r w:rsidRPr="001A3661">
        <w:rPr>
          <w:rFonts w:ascii="Times New Roman" w:hAnsi="Times New Roman"/>
          <w:color w:val="000000"/>
        </w:rPr>
        <w:t>Điều 5 của Luật số 09/2026/QH16 sửa đổi, bổ sung một số điều của Luật Thuế thu nhập cá nhân, Luật Thuế giá trị gia tăng, Luật Thuế thu nhập doanh nghiệp và Luật Thuế tiêu thụ đặc biệt, có hiệu lực kể từ ngày 24 tháng 4 năm 2026 quy định như sau:</w:t>
      </w:r>
    </w:p>
    <w:p w14:paraId="41DE4E49" w14:textId="77777777" w:rsidR="001A3661" w:rsidRPr="001A3661" w:rsidRDefault="001A3661" w:rsidP="001A3661">
      <w:pPr>
        <w:spacing w:after="0" w:line="240" w:lineRule="auto"/>
        <w:ind w:firstLine="720"/>
        <w:jc w:val="both"/>
        <w:rPr>
          <w:rFonts w:ascii="Times New Roman" w:hAnsi="Times New Roman"/>
          <w:color w:val="000000"/>
        </w:rPr>
      </w:pPr>
      <w:r w:rsidRPr="001A3661">
        <w:rPr>
          <w:rFonts w:ascii="Times New Roman" w:hAnsi="Times New Roman"/>
          <w:b/>
          <w:i/>
          <w:color w:val="000000"/>
        </w:rPr>
        <w:t>“Điều 5. Hiệu lực thi hành</w:t>
      </w:r>
    </w:p>
    <w:p w14:paraId="086E1426" w14:textId="77777777" w:rsidR="001A3661" w:rsidRPr="001A3661" w:rsidRDefault="001A3661" w:rsidP="001A3661">
      <w:pPr>
        <w:spacing w:after="0" w:line="240" w:lineRule="auto"/>
        <w:ind w:firstLine="720"/>
        <w:jc w:val="both"/>
        <w:rPr>
          <w:rFonts w:ascii="Times New Roman" w:hAnsi="Times New Roman"/>
          <w:color w:val="000000"/>
        </w:rPr>
      </w:pPr>
      <w:r w:rsidRPr="001A3661">
        <w:rPr>
          <w:rFonts w:ascii="Times New Roman" w:hAnsi="Times New Roman"/>
          <w:i/>
          <w:color w:val="000000"/>
        </w:rPr>
        <w:t>1. Luật này có hiệu lực thi hành từ ngày được thông qua, trừ quy định tại khoản 2 Điều này.</w:t>
      </w:r>
    </w:p>
    <w:p w14:paraId="0207B02E" w14:textId="77777777" w:rsidR="001A3661" w:rsidRPr="001A3661" w:rsidRDefault="001A3661" w:rsidP="001A3661">
      <w:pPr>
        <w:pStyle w:val="FootnoteText"/>
        <w:spacing w:after="0" w:line="240" w:lineRule="auto"/>
        <w:jc w:val="both"/>
        <w:rPr>
          <w:rFonts w:ascii="Times New Roman" w:hAnsi="Times New Roman"/>
          <w:sz w:val="24"/>
          <w:szCs w:val="24"/>
        </w:rPr>
      </w:pPr>
      <w:r w:rsidRPr="001A3661">
        <w:rPr>
          <w:rFonts w:ascii="Times New Roman" w:hAnsi="Times New Roman"/>
          <w:i/>
          <w:color w:val="000000"/>
          <w:sz w:val="24"/>
          <w:szCs w:val="24"/>
        </w:rPr>
        <w:t>2. Quy định tại các điều 1, 2 và 3 của Luật này có hiệu lực thi hành từ ngày 01 tháng 01 năm 2026.”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C9A"/>
    <w:rsid w:val="000C2AE0"/>
    <w:rsid w:val="001556EC"/>
    <w:rsid w:val="001745A4"/>
    <w:rsid w:val="001A3661"/>
    <w:rsid w:val="001B6A45"/>
    <w:rsid w:val="001F3B96"/>
    <w:rsid w:val="002B3434"/>
    <w:rsid w:val="003B79D1"/>
    <w:rsid w:val="003C24C9"/>
    <w:rsid w:val="0041076F"/>
    <w:rsid w:val="004A5097"/>
    <w:rsid w:val="004C28E7"/>
    <w:rsid w:val="006569E1"/>
    <w:rsid w:val="006C3304"/>
    <w:rsid w:val="007A2688"/>
    <w:rsid w:val="00875C9A"/>
    <w:rsid w:val="009F6E81"/>
    <w:rsid w:val="00A939CD"/>
    <w:rsid w:val="00AB1DF0"/>
    <w:rsid w:val="00AD100A"/>
    <w:rsid w:val="00AF248A"/>
    <w:rsid w:val="00BB44DD"/>
    <w:rsid w:val="00CB7E75"/>
    <w:rsid w:val="00CF0A4E"/>
    <w:rsid w:val="00D5079C"/>
    <w:rsid w:val="00DA2E6E"/>
    <w:rsid w:val="00DE18FB"/>
    <w:rsid w:val="00DF0F5A"/>
    <w:rsid w:val="00EB01FF"/>
    <w:rsid w:val="00FE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58CC"/>
  <w15:docId w15:val="{9650DDF9-70BC-46B1-9445-7D0A8C60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0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1FF"/>
  </w:style>
  <w:style w:type="paragraph" w:styleId="Footer">
    <w:name w:val="footer"/>
    <w:basedOn w:val="Normal"/>
    <w:link w:val="FooterChar"/>
    <w:uiPriority w:val="99"/>
    <w:unhideWhenUsed/>
    <w:rsid w:val="00EB0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1FF"/>
  </w:style>
  <w:style w:type="paragraph" w:styleId="FootnoteText">
    <w:name w:val="footnote text"/>
    <w:basedOn w:val="Normal"/>
    <w:link w:val="FootnoteTextChar"/>
    <w:uiPriority w:val="99"/>
    <w:semiHidden/>
    <w:unhideWhenUsed/>
    <w:rsid w:val="001A3661"/>
    <w:rPr>
      <w:sz w:val="20"/>
      <w:szCs w:val="20"/>
    </w:rPr>
  </w:style>
  <w:style w:type="character" w:customStyle="1" w:styleId="FootnoteTextChar">
    <w:name w:val="Footnote Text Char"/>
    <w:link w:val="FootnoteText"/>
    <w:uiPriority w:val="99"/>
    <w:semiHidden/>
    <w:rsid w:val="001A3661"/>
    <w:rPr>
      <w:kern w:val="2"/>
    </w:rPr>
  </w:style>
  <w:style w:type="character" w:styleId="FootnoteReference">
    <w:name w:val="footnote reference"/>
    <w:uiPriority w:val="99"/>
    <w:semiHidden/>
    <w:unhideWhenUsed/>
    <w:rsid w:val="001A36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EFE9B-5362-437C-9C5E-3F86A917B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4527</Words>
  <Characters>25809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VĂN PHÒNG QUỐC HỘI</vt:lpstr>
    </vt:vector>
  </TitlesOfParts>
  <Company/>
  <LinksUpToDate>false</LinksUpToDate>
  <CharactersWithSpaces>30276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QUỐC HỘI</dc:title>
  <dc:subject/>
  <dc:creator>Bach Luat</dc:creator>
  <cp:keywords/>
  <cp:lastModifiedBy>Helena Kari</cp:lastModifiedBy>
  <cp:revision>2</cp:revision>
  <dcterms:created xsi:type="dcterms:W3CDTF">2026-08-29T01:37:00Z</dcterms:created>
  <dcterms:modified xsi:type="dcterms:W3CDTF">2026-08-29T01:37:00Z</dcterms:modified>
</cp:coreProperties>
</file>