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Công văn 18995/CTHN-TTHT về việc xác định chi phí phát sinh trước khi thành lập doanh nghiệp</w:t>
      </w:r>
    </w:p>
    <w:p>
      <w:pPr>
        <w:spacing w:after="360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Số hiệu: 18995/CTHN-TTHT | Cơ quan ban hành: Cục Thuế TP Hà Nội | Ngày ban hành: 2024-04-10</w:t>
      </w:r>
    </w:p>
    <w:p>
      <w:pPr>
        <w:spacing w:after="120" w:line="360"/>
      </w:pPr>
      <w:r>
        <w:rPr>
          <w:rFonts w:ascii="Times New Roman" w:cs="Times New Roman" w:eastAsia="Times New Roman" w:hAnsi="Times New Roman"/>
          <w:sz w:val="26"/>
          <w:szCs w:val="26"/>
        </w:rPr>
        <w:t xml:space="preserve">CÔNG VĂN 18995/CTHN-TTHT Xác định chi phí phát sinh trước khi thành lập doanh nghiệp..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2026-08-31T08:17:04.734Z</dcterms:created>
  <dcterms:modified xsi:type="dcterms:W3CDTF">2026-08-31T08:17:04.734Z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