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3058/TCT-CS về xác định quan hệ liên kết qua giao dịch vay vốn và bảo lãnh ngân hàng</w:t>
      </w:r>
    </w:p>
    <w:p>
      <w:pPr>
        <w:spacing w:after="360"/>
        <w:jc w:val="center"/>
      </w:pPr>
      <w:r>
        <w:rPr>
          <w:rFonts w:ascii="Times New Roman" w:cs="Times New Roman" w:eastAsia="Times New Roman" w:hAnsi="Times New Roman"/>
          <w:i/>
          <w:iCs/>
          <w:sz w:val="22"/>
          <w:szCs w:val="22"/>
        </w:rPr>
        <w:t xml:space="preserve">Số hiệu: 3058/TCT-CS | Cơ quan ban hành: Tổng cục Thuế | Ngày ban hành: 2025-07-15</w:t>
      </w:r>
    </w:p>
    <w:p>
      <w:pPr>
        <w:spacing w:after="120" w:line="360"/>
      </w:pPr>
      <w:r>
        <w:rPr>
          <w:rFonts w:ascii="Times New Roman" w:cs="Times New Roman" w:eastAsia="Times New Roman" w:hAnsi="Times New Roman"/>
          <w:sz w:val="26"/>
          <w:szCs w:val="26"/>
        </w:rPr>
        <w:t xml:space="preserve">TỔNG CỤC THUẾ _______ Số: 3058/TCT-CS CỘNG HÒA XÃ HỘI CHỦ NGHĨA VIỆT NAM Độc lập - Tự do - Hạnh phúc __________________________ Hà Nội, ngày 15 tháng 7 năm 2025 CÔNG VĂN Về xác định quan hệ liên kết qua giao dịch vay vốn và bảo lãnh ngân hàng Kính gửi: Cục Thuế các tỉnh, thành phố trực thuộc Trung ương Trả lời kiến nghị của các Cục Thuế và Hiệp hội doanh nghiệp về việc xác định quan hệ liên kết tại điểm d khoản 2 Điều 5 Nghị định 132/2020/NĐ-CP đối với các khoản vay vốn từ ngân hàng thương mại, Tổng cục Thuế hướng dẫn như sau: 1.</w:t>
      </w:r>
    </w:p>
    <w:p>
      <w:pPr>
        <w:spacing w:after="120" w:line="360"/>
      </w:pPr>
      <w:r>
        <w:rPr>
          <w:rFonts w:ascii="Times New Roman" w:cs="Times New Roman" w:eastAsia="Times New Roman" w:hAnsi="Times New Roman"/>
          <w:sz w:val="26"/>
          <w:szCs w:val="26"/>
        </w:rPr>
        <w:t xml:space="preserve">Tiêu chí xác định: Trường hợp doanh nghiệp vay vốn ngân hàng mà khoản vốn vay ít nhất bằng 25% vốn góp chủ sở hữu và chiếm trên 50% tổng giá trị các khoản nợ trung và dài hạn của doanh nghiệp đi vay thì thuộc diện xác định là các bên có quan hệ liên kết.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Về chi phí lãi vay: Toàn bộ chi phí lãi vay phát sinh (bao gồm cả lãi vay ngân hàng độc lập) đều thuộc phạm vi áp dụng mức trần khống chế 30% EBITDA theo quy định tại khoản 3 Điều 16 Nghị định 132/2020/NĐ-CP.</w:t>
      </w:r>
    </w:p>
    <w:p>
      <w:pPr>
        <w:spacing w:after="120" w:line="360"/>
      </w:pPr>
      <w:r>
        <w:rPr>
          <w:rFonts w:ascii="Times New Roman" w:cs="Times New Roman" w:eastAsia="Times New Roman" w:hAnsi="Times New Roman"/>
          <w:sz w:val="26"/>
          <w:szCs w:val="26"/>
        </w:rPr>
        <w:t xml:space="preserve">TỔNG CỤC THUẾ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2026-08-31T09:49:06.130Z</dcterms:created>
  <dcterms:modified xsi:type="dcterms:W3CDTF">2026-08-31T09:49:06.130Z</dcterms:modified>
</cp:coreProperties>
</file>

<file path=docProps/custom.xml><?xml version="1.0" encoding="utf-8"?>
<Properties xmlns="http://schemas.openxmlformats.org/officeDocument/2006/custom-properties" xmlns:vt="http://schemas.openxmlformats.org/officeDocument/2006/docPropsVTypes"/>
</file>