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Luật số 56/2024/QH15 sửa đổi, bổ sung 9 luật trong lĩnh vực tài chính, kế toán, kiểm toán, thuế</w:t>
      </w:r>
    </w:p>
    <w:p>
      <w:pPr>
        <w:spacing w:after="360"/>
        <w:jc w:val="center"/>
      </w:pPr>
      <w:r>
        <w:rPr>
          <w:rFonts w:ascii="Times New Roman" w:cs="Times New Roman" w:eastAsia="Times New Roman" w:hAnsi="Times New Roman"/>
          <w:i/>
          <w:iCs/>
          <w:sz w:val="22"/>
          <w:szCs w:val="22"/>
        </w:rPr>
        <w:t xml:space="preserve">Số hiệu: 56/2024/QH15 | Cơ quan ban hành: Quốc hội | Ngày ban hành: 2024-11-29</w:t>
      </w:r>
    </w:p>
    <w:p>
      <w:pPr>
        <w:spacing w:after="120" w:line="360"/>
      </w:pPr>
      <w:r>
        <w:rPr>
          <w:rFonts w:ascii="Times New Roman" w:cs="Times New Roman" w:eastAsia="Times New Roman" w:hAnsi="Times New Roman"/>
          <w:sz w:val="26"/>
          <w:szCs w:val="26"/>
        </w:rPr>
        <w:t xml:space="preserve">QUỐC HỘI _______ Số: 56/2024/QH15 CỘNG HÒA XÃ HỘI CHỦ NGHĨA VIỆT NAM Độc lập - Tự do - Hạnh phúc __________________________ Hà Nội, ngày 29 tháng 11 năm 2024 LUẬT Sửa đổi, bổ sung một số điều của Luật Chứng khoán, Luật Kế toán, Luật Kiểm toán độc lập, Luật Ngân sách nhà nước, Luật Quản lý, sử dụng tài sản công, Luật Quản lý thuế, Luật Dự trữ quốc gia, Luật Xử lý vi phạm hành chính Căn cứ Hiến pháp nước Cộng hòa xã hội chủ nghĩa Việt Nam; Quốc hội ban hành Luật số 56/2024/QH15 sửa đổi, bổ sung một số điều của 9 Luật trong lĩnh vực tài chính, kế toán, thuế.</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Sửa đổi, bổ sung một số điều của Luật Kế toán số 88/2015/QH13 1.</w:t>
      </w:r>
    </w:p>
    <w:p>
      <w:pPr>
        <w:spacing w:after="120" w:line="360"/>
      </w:pPr>
      <w:r>
        <w:rPr>
          <w:rFonts w:ascii="Times New Roman" w:cs="Times New Roman" w:eastAsia="Times New Roman" w:hAnsi="Times New Roman"/>
          <w:sz w:val="26"/>
          <w:szCs w:val="26"/>
        </w:rPr>
        <w:t xml:space="preserve">Bổ sung quy định về nguyên tắc giá trị hợp lý trong việc đánh giá lại tài sản và nợ phải trả theo Chuẩn mực Báo cáo Tài chính Quốc tế (IFRS).</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Đẩy mạnh áp dụng hoàn toàn chứng từ điện tử, chữ ký số và cho phép lưu trữ hồ sơ kế toán trên nền tảng điện toán đám mây bảo mật.</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Sửa đổi, bổ sung một số điều của Luật Kiểm toán độc lập số 67/2011/QH12 1.</w:t>
      </w:r>
    </w:p>
    <w:p>
      <w:pPr>
        <w:spacing w:after="120" w:line="360"/>
      </w:pPr>
      <w:r>
        <w:rPr>
          <w:rFonts w:ascii="Times New Roman" w:cs="Times New Roman" w:eastAsia="Times New Roman" w:hAnsi="Times New Roman"/>
          <w:sz w:val="26"/>
          <w:szCs w:val="26"/>
        </w:rPr>
        <w:t xml:space="preserve">Nâng cao trách nhiệm pháp lý của kiểm toán viên hành nghề và doanh nghiệp kiểm toán trong việc phát hiện gian lận và sai sót trọng yếu.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 định thời hạn luân chuyển kiểm toán viên ký báo cáo kiểm toán tối đa 05 năm liên tục đối với các đơn vị có lợi ích công chúng.</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Hiệu lực thi hành Luật này có hiệu lực thi hành từ ngày 01 tháng 01 năm 2025.</w:t>
      </w:r>
    </w:p>
    <w:p>
      <w:pPr>
        <w:spacing w:after="120" w:line="360"/>
      </w:pPr>
      <w:r>
        <w:rPr>
          <w:rFonts w:ascii="Times New Roman" w:cs="Times New Roman" w:eastAsia="Times New Roman" w:hAnsi="Times New Roman"/>
          <w:sz w:val="26"/>
          <w:szCs w:val="26"/>
        </w:rPr>
        <w:t xml:space="preserve">QUỐC HỘI CHỦ TỊCH QUỐC HỘI Trần Thanh Mẫn.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2026-08-31T09:49:06.191Z</dcterms:created>
  <dcterms:modified xsi:type="dcterms:W3CDTF">2026-08-31T09:49:06.191Z</dcterms:modified>
</cp:coreProperties>
</file>

<file path=docProps/custom.xml><?xml version="1.0" encoding="utf-8"?>
<Properties xmlns="http://schemas.openxmlformats.org/officeDocument/2006/custom-properties" xmlns:vt="http://schemas.openxmlformats.org/officeDocument/2006/docPropsVTypes"/>
</file>