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Nghị định 115/2015/NĐ-CP quy định chi tiết một số điều của Luật Bảo hiểm xã hội về BHXH bắt buộc</w:t>
      </w:r>
    </w:p>
    <w:p>
      <w:pPr>
        <w:spacing w:after="360"/>
        <w:jc w:val="center"/>
      </w:pPr>
      <w:r>
        <w:rPr>
          <w:rFonts w:ascii="Times New Roman" w:cs="Times New Roman" w:eastAsia="Times New Roman" w:hAnsi="Times New Roman"/>
          <w:i/>
          <w:iCs/>
          <w:sz w:val="22"/>
          <w:szCs w:val="22"/>
        </w:rPr>
        <w:t xml:space="preserve">Số hiệu: 115/2015/NĐ-CP | Cơ quan ban hành: Chính phủ | Ngày ban hành: 2015-11-11</w:t>
      </w:r>
    </w:p>
    <w:p>
      <w:pPr>
        <w:spacing w:after="120" w:line="360"/>
      </w:pPr>
      <w:r>
        <w:rPr>
          <w:rFonts w:ascii="Times New Roman" w:cs="Times New Roman" w:eastAsia="Times New Roman" w:hAnsi="Times New Roman"/>
          <w:sz w:val="26"/>
          <w:szCs w:val="26"/>
        </w:rPr>
        <w:t xml:space="preserve">CHÍNH PHỦ _______ Số: 115/2015/NĐ-CP CỘNG HÒA XÃ HỘI CHỦ NGHĨA VIỆT NAM Độc lập - Tự do - Hạnh phúc __________________________ Hà Nội, ngày 11 tháng 11 năm 2015 NGHỊ ĐỊNH Quy định chi tiết một số điều của Luật Bảo hiểm xã hội về bảo hiểm xã hội bắt buộc Căn cứ Luật Bảo hiểm xã hội số 58/2014/QH13; Chính phủ ban hành hướng dẫn chi tiết các chế độ ốm đau, thai sản, tử tuất và hưu trí.</w:t>
      </w:r>
    </w:p>
    <w:p>
      <w:pPr>
        <w:spacing w:after="120" w:line="360"/>
      </w:pPr>
      <w:r>
        <w:rPr>
          <w:rFonts w:ascii="Times New Roman" w:cs="Times New Roman" w:eastAsia="Times New Roman" w:hAnsi="Times New Roman"/>
          <w:sz w:val="26"/>
          <w:szCs w:val="26"/>
        </w:rPr>
        <w:t xml:space="preserve">Điều 1.</w:t>
      </w:r>
    </w:p>
    <w:p>
      <w:pPr>
        <w:spacing w:after="120" w:line="360"/>
      </w:pPr>
      <w:r>
        <w:rPr>
          <w:rFonts w:ascii="Times New Roman" w:cs="Times New Roman" w:eastAsia="Times New Roman" w:hAnsi="Times New Roman"/>
          <w:sz w:val="26"/>
          <w:szCs w:val="26"/>
        </w:rPr>
        <w:t xml:space="preserve">Tiền lương tháng đóng bảo hiểm xã hội bắt buộc Từ ngày 01/01/2018 trở đi, tiền lương tháng đóng BHXH bắt buộc là mức lương, phụ cấp lương và các khoản bổ sung khác theo quy định của pháp luật lao động ghi trong hợp đồng lao động.</w:t>
      </w:r>
    </w:p>
    <w:p>
      <w:pPr>
        <w:spacing w:after="120" w:line="360"/>
      </w:pPr>
      <w:r>
        <w:rPr>
          <w:rFonts w:ascii="Times New Roman" w:cs="Times New Roman" w:eastAsia="Times New Roman" w:hAnsi="Times New Roman"/>
          <w:sz w:val="26"/>
          <w:szCs w:val="26"/>
        </w:rPr>
        <w:t xml:space="preserve">Điều 2.</w:t>
      </w:r>
    </w:p>
    <w:p>
      <w:pPr>
        <w:spacing w:after="120" w:line="360"/>
      </w:pPr>
      <w:r>
        <w:rPr>
          <w:rFonts w:ascii="Times New Roman" w:cs="Times New Roman" w:eastAsia="Times New Roman" w:hAnsi="Times New Roman"/>
          <w:sz w:val="26"/>
          <w:szCs w:val="26"/>
        </w:rPr>
        <w:t xml:space="preserve">Hiệu lực thi hành Nghị định này có hiệu lực thi hành từ ngày 01 tháng 01 năm 2016.</w:t>
      </w:r>
    </w:p>
    <w:p>
      <w:pPr>
        <w:spacing w:after="120" w:line="360"/>
      </w:pPr>
      <w:r>
        <w:rPr>
          <w:rFonts w:ascii="Times New Roman" w:cs="Times New Roman" w:eastAsia="Times New Roman" w:hAnsi="Times New Roman"/>
          <w:sz w:val="26"/>
          <w:szCs w:val="26"/>
        </w:rPr>
        <w:t xml:space="preserve">CHÍNH PHỦ THỦ TƯỚNG Nguyễn Tấn Dũng.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2026-08-31T09:49:06.223Z</dcterms:created>
  <dcterms:modified xsi:type="dcterms:W3CDTF">2026-08-31T09:49:06.223Z</dcterms:modified>
</cp:coreProperties>
</file>

<file path=docProps/custom.xml><?xml version="1.0" encoding="utf-8"?>
<Properties xmlns="http://schemas.openxmlformats.org/officeDocument/2006/custom-properties" xmlns:vt="http://schemas.openxmlformats.org/officeDocument/2006/docPropsVTypes"/>
</file>