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Nghị định 132/2020/NĐ-CP quy định về quản lý thuế đối với doanh nghiệp có giao dịch liên kết</w:t>
      </w:r>
    </w:p>
    <w:p>
      <w:pPr>
        <w:spacing w:after="360"/>
        <w:jc w:val="center"/>
      </w:pPr>
      <w:r>
        <w:rPr>
          <w:rFonts w:ascii="Times New Roman" w:cs="Times New Roman" w:eastAsia="Times New Roman" w:hAnsi="Times New Roman"/>
          <w:i/>
          <w:iCs/>
          <w:sz w:val="22"/>
          <w:szCs w:val="22"/>
        </w:rPr>
        <w:t xml:space="preserve">Số hiệu: 132/2020/NĐ-CP | Cơ quan ban hành: Chính phủ | Ngày ban hành: 2020-11-05</w:t>
      </w:r>
    </w:p>
    <w:p>
      <w:pPr>
        <w:spacing w:after="120" w:line="360"/>
      </w:pPr>
      <w:r>
        <w:rPr>
          <w:rFonts w:ascii="Times New Roman" w:cs="Times New Roman" w:eastAsia="Times New Roman" w:hAnsi="Times New Roman"/>
          <w:sz w:val="26"/>
          <w:szCs w:val="26"/>
        </w:rPr>
        <w:t xml:space="preserve">CHÍNH PHỦ ------- CỘNG HÒA XÃ HỘI CHỦ NGHĨA VIỆT NAM Độc lập - Tự do - Hạnh phúc --------------- Số: 132/2020/NĐ-CP Hà Nội, ngày 05 tháng 11 năm 2020 NGHỊ ĐỊNH QUY ĐỊNH VỀ QUẢN LÝ THUẾ ĐỐI VỚI DOANH NGHIỆP CÓ GIAO DỊCH LIÊN KẾT Căn cứ Luật Tổ chức Chính phủ ngày 19 tháng 6 năm 2015; Luật sửa đổi, bổ sung một số điều của Luật Tổ chức Chính phủ và Luật Tổ chức chính quyền địa phương ngày 22 tháng 11 năm 2019; Căn cứ Luật Quản lý thuế ngày 13 tháng 6 năm 2019; Căn cứ Luật Thuế thu nhập doanh nghiệp ngày 03 tháng 6 năm 2008; Luật sửa đổi, bổ sung một số điều của Luật Thuế thu nhập doanh nghiệp ngày 19 tháng 6 năm 2013; Căn cứ Luật sửa đổi, bổ sung một số điều của các Luật Về thuế ngày 26 tháng 11 năm 2014; Theo đề nghị của Bộ trưởng Bộ Tài chính; Chính phủ ban hành Nghị định quy định về quản lý thuế đối với doanh nghiệp có giao dịch liên kết.</w:t>
      </w:r>
    </w:p>
    <w:p>
      <w:pPr>
        <w:spacing w:after="120" w:line="360"/>
      </w:pPr>
      <w:r>
        <w:rPr>
          <w:rFonts w:ascii="Times New Roman" w:cs="Times New Roman" w:eastAsia="Times New Roman" w:hAnsi="Times New Roman"/>
          <w:sz w:val="26"/>
          <w:szCs w:val="26"/>
        </w:rPr>
        <w:t xml:space="preserve">Chương I QUY ĐỊNH CHUNG Điều 1.</w:t>
      </w:r>
    </w:p>
    <w:p>
      <w:pPr>
        <w:spacing w:after="120" w:line="360"/>
      </w:pPr>
      <w:r>
        <w:rPr>
          <w:rFonts w:ascii="Times New Roman" w:cs="Times New Roman" w:eastAsia="Times New Roman" w:hAnsi="Times New Roman"/>
          <w:sz w:val="26"/>
          <w:szCs w:val="26"/>
        </w:rPr>
        <w:t xml:space="preserve">Phạm vi điều chỉnh 1.</w:t>
      </w:r>
    </w:p>
    <w:p>
      <w:pPr>
        <w:spacing w:after="120" w:line="360"/>
      </w:pPr>
      <w:r>
        <w:rPr>
          <w:rFonts w:ascii="Times New Roman" w:cs="Times New Roman" w:eastAsia="Times New Roman" w:hAnsi="Times New Roman"/>
          <w:sz w:val="26"/>
          <w:szCs w:val="26"/>
        </w:rPr>
        <w:t xml:space="preserve">Nghị định này quy định nguyên tắc, phương pháp, trình tự xác định yếu tố hình thành giá giao dịch liên kết; quyền và nghĩa vụ của người nộp thuế trong xác định giá giao dịch liên kết, thủ tục kê khai; trách nhiệm của các cơ quan nhà nước trong quản lý thuế đối với người nộp thuế có phát sinh giao dịch liên kết.</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Các giao dịch liên kết thuộc phạm vi điều chỉnh của Nghị định này là các giao dịch mua, bán, trao đổi, thuê, cho thuê, mượn, cho mượn, chuyển giao, chuyển nhượng hàng hóa, cung cấp dịch vụ; vay, cho vay, dịch vụ tài chính, đảm bảo tài chính và các công cụ tài chính khác; mua, bán, trao đổi, thuê, cho thuê, mượn, cho mượn, chuyển giao, chuyển nhượng tài sản hữu hình, tài sản vô hình và thỏa thuận mua, bán, sử dụng chung nguồn lực như tài sản, vốn, lao động, chia sẻ chi phí giữa các bên có quan hệ liên kết, trừ các giao dịch kinh doanh đối với hàng hóa, dịch vụ thuộc phạm vi điều chỉnh giá của Nhà nước thực hiện theo quy định của pháp luật về giá.</w:t>
      </w:r>
    </w:p>
    <w:p>
      <w:pPr>
        <w:spacing w:after="120" w:line="360"/>
      </w:pPr>
      <w:r>
        <w:rPr>
          <w:rFonts w:ascii="Times New Roman" w:cs="Times New Roman" w:eastAsia="Times New Roman" w:hAnsi="Times New Roman"/>
          <w:sz w:val="26"/>
          <w:szCs w:val="26"/>
        </w:rPr>
        <w:t xml:space="preserve">Điều 2.</w:t>
      </w:r>
    </w:p>
    <w:p>
      <w:pPr>
        <w:spacing w:after="120" w:line="360"/>
      </w:pPr>
      <w:r>
        <w:rPr>
          <w:rFonts w:ascii="Times New Roman" w:cs="Times New Roman" w:eastAsia="Times New Roman" w:hAnsi="Times New Roman"/>
          <w:sz w:val="26"/>
          <w:szCs w:val="26"/>
        </w:rPr>
        <w:t xml:space="preserve">Đối tượng áp dụng 1.</w:t>
      </w:r>
    </w:p>
    <w:p>
      <w:pPr>
        <w:spacing w:after="120" w:line="360"/>
      </w:pPr>
      <w:r>
        <w:rPr>
          <w:rFonts w:ascii="Times New Roman" w:cs="Times New Roman" w:eastAsia="Times New Roman" w:hAnsi="Times New Roman"/>
          <w:sz w:val="26"/>
          <w:szCs w:val="26"/>
        </w:rPr>
        <w:t xml:space="preserve">Tổ chức sản xuất, kinh doanh hàng hóa, dịch vụ (sau đây gọi chung là người nộp thuế) là đối tượng nộp thuế thu nhập doanh nghiệp có phát sinh giao dịch với các bên có quan hệ liên kết theo quy định tại điều 5 Nghị định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Cơ quan thuế bao gồm Tổng cục Thuế, Cục Thuế và Chi cục Thuế.</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Cơ quan nhà nước, tổ chức, cá nhân khác có liên quan đến việc áp dụng quy định về quản lý thuế đối với giao dịch liên kết.</w:t>
      </w:r>
    </w:p>
    <w:p>
      <w:pPr>
        <w:spacing w:after="120" w:line="360"/>
      </w:pPr>
      <w:r>
        <w:rPr>
          <w:rFonts w:ascii="Times New Roman" w:cs="Times New Roman" w:eastAsia="Times New Roman" w:hAnsi="Times New Roman"/>
          <w:sz w:val="26"/>
          <w:szCs w:val="26"/>
        </w:rPr>
        <w:t xml:space="preserve">Điều 3.</w:t>
      </w:r>
    </w:p>
    <w:p>
      <w:pPr>
        <w:spacing w:after="120" w:line="360"/>
      </w:pPr>
      <w:r>
        <w:rPr>
          <w:rFonts w:ascii="Times New Roman" w:cs="Times New Roman" w:eastAsia="Times New Roman" w:hAnsi="Times New Roman"/>
          <w:sz w:val="26"/>
          <w:szCs w:val="26"/>
        </w:rPr>
        <w:t xml:space="preserve">Nguyên tắc áp dụng 1.</w:t>
      </w:r>
    </w:p>
    <w:p>
      <w:pPr>
        <w:spacing w:after="120" w:line="360"/>
      </w:pPr>
      <w:r>
        <w:rPr>
          <w:rFonts w:ascii="Times New Roman" w:cs="Times New Roman" w:eastAsia="Times New Roman" w:hAnsi="Times New Roman"/>
          <w:sz w:val="26"/>
          <w:szCs w:val="26"/>
        </w:rPr>
        <w:t xml:space="preserve">Người nộp thuế có giao dịch liên kết phải loại trừ các yếu tố làm giảm nghĩa vụ thuế do quan hệ liên kết chi phối, tác động để kê khai, xác định nghĩa vụ thuế đối với các giao dịch liên kết tương đương với các giao dịch độc lập có cùng điều kiện.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Cơ quan thuế quản lý, kiểm tra, thanh tra đối với giá giao dịch liên kết của người nộp thuế theo nguyên tắc giao dịch độc lập và bản chất hoạt động, giao dịch quyết định nghĩa vụ thuế tương ứng với giá trị tạo ra từ bản chất giao dịch, hoạt động sản xuất, kinh doanh của người nộp thuế, không công nhận các giao dịch liên kết không theo nguyên tắc giao dịch độc lập làm giảm nghĩa vụ thuế của doanh nghiệp với ngân sách nhà nước và thực hiện điều chỉnh giá giao dịch liên kết đó để xác định đúng nghĩa vụ thuế quy định của Nghị định này.</w:t>
      </w:r>
    </w:p>
    <w:p>
      <w:pPr>
        <w:spacing w:after="120" w:line="360"/>
      </w:pPr>
      <w:r>
        <w:rPr>
          <w:rFonts w:ascii="Times New Roman" w:cs="Times New Roman" w:eastAsia="Times New Roman" w:hAnsi="Times New Roman"/>
          <w:sz w:val="26"/>
          <w:szCs w:val="26"/>
        </w:rPr>
        <w:t xml:space="preserve">Điều 4.</w:t>
      </w:r>
    </w:p>
    <w:p>
      <w:pPr>
        <w:spacing w:after="120" w:line="360"/>
      </w:pPr>
      <w:r>
        <w:rPr>
          <w:rFonts w:ascii="Times New Roman" w:cs="Times New Roman" w:eastAsia="Times New Roman" w:hAnsi="Times New Roman"/>
          <w:sz w:val="26"/>
          <w:szCs w:val="26"/>
        </w:rPr>
        <w:t xml:space="preserve">Giải thích từ ngữ Ngoài các từ ngữ đã được giải thích tại Luật Quản lý thuế số 38/2019/QH14 ngày 13 tháng 6 năm 2019, các từ ngữ sau đây được hiểu như sau: 1.</w:t>
      </w:r>
    </w:p>
    <w:p>
      <w:pPr>
        <w:spacing w:after="120" w:line="360"/>
      </w:pPr>
      <w:r>
        <w:rPr>
          <w:rFonts w:ascii="Times New Roman" w:cs="Times New Roman" w:eastAsia="Times New Roman" w:hAnsi="Times New Roman"/>
          <w:sz w:val="26"/>
          <w:szCs w:val="26"/>
        </w:rPr>
        <w:t xml:space="preserve">“Hiệp định thuế” là thuật ngữ rút gọn của Hiệp định tránh đánh thuế hai lần và ngăn ngừa việc trốn lậu thuế đối với các loại thuế đánh vào thu nhập hoặc tài sản ký kết giữa Việt Nam và các quốc gia, vùng lãnh thổ, bao gồm cả các Hiệp định, Nghị định thư sửa đổi, bổ sung các Hiệp định hiện có hiệu lực thi hành tại Việt Nam.</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“Thỏa thuận của Nhà chức trách có thẩm quyền” là thuật ngữ rút gọn của Thỏa thuận có hiệu lực giữa Nhà chức trách có thẩm quyền của các quốc gia, vùng lãnh thổ là các bên tham gia điều ước quốc tế về thuế và có yêu cầu trao đổi thông tin tự động đối với Báo cáo lợi nhuận liên quốc gia.</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“Thỏa thuận quốc tế về thuế”, “Điều ước quốc tế về thuế” là các thỏa thuận, điều ước quốc tế song phương và đa phương trong lĩnh vực thuế.</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“Cơ quan thuế đối tác” là Cơ quan thuế của nước, vùng lãnh thổ ký kết Hiệp định thuế với Việt Nam.</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“Đối tượng so sánh độc lập” là các giao dịch độc lập giữa các bên không có quan hệ liên kết hoặc doanh nghiệp thực hiện giao dịch độc lập được lựa chọn trên cơ sở phân tích, so sánh, xác định đối tượng so sánh tương đồng để xác định mức giá, tỷ suất lợi nhuận, tỷ lệ phân bổ lợi nhuận nhằm xác định nghĩa vụ thuế phải nộp ngân sách nhà nước của người nộp thuế, đảm bảo đúng quy định của Luật Quản lý thuế và Luật Thuế thu nhập doanh nghiệp.</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“Khác biệt trọng yếu” là khác biệt về các yếu tố hình thành giá có ảnh hưởng quan trọng hoặc đáng kể đến mức giá, tỷ suất lợi nhuận và tỷ lệ phân bổ lợi nhuận của các bên tham gia giao dịch.</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“Cơ sở dữ liệu của Cơ quan thuế” là các thông tin, dữ liệu do Cơ quan thuế thu thập, xây dựng, quản lý từ các nguồn khác nhau theo quy định tại Luật Quản lý thuế số 38/2019/QH14 ngày 13 tháng 6 năm 2019, bao gồm cả cơ sở dữ liệu và thông tin trao đổi với các cơ quan quản lý thuế, cơ quan có thẩm quyền ở nước ngoài.</w:t>
      </w:r>
    </w:p>
    <w:p>
      <w:pPr>
        <w:spacing w:after="120" w:line="360"/>
      </w:pPr>
      <w:r>
        <w:rPr>
          <w:rFonts w:ascii="Times New Roman" w:cs="Times New Roman" w:eastAsia="Times New Roman" w:hAnsi="Times New Roman"/>
          <w:sz w:val="26"/>
          <w:szCs w:val="26"/>
        </w:rPr>
        <w:t xml:space="preserve">8.</w:t>
      </w:r>
    </w:p>
    <w:p>
      <w:pPr>
        <w:spacing w:after="120" w:line="360"/>
      </w:pPr>
      <w:r>
        <w:rPr>
          <w:rFonts w:ascii="Times New Roman" w:cs="Times New Roman" w:eastAsia="Times New Roman" w:hAnsi="Times New Roman"/>
          <w:sz w:val="26"/>
          <w:szCs w:val="26"/>
        </w:rPr>
        <w:t xml:space="preserve">“Khoảng giá trị giao dịch độc lập” là tập hợp các giá trị về mức giá, tỷ suất lợi nhuận hoặc tỷ lệ phân bổ lợi nhuận của các đối tượng so sánh độc lập được Cơ quan thuế hoặc người nộp thuế lựa chọn trên cơ sở dữ liệu quy định tại điều 17 Nghị định này.</w:t>
      </w:r>
    </w:p>
    <w:p>
      <w:pPr>
        <w:spacing w:after="120" w:line="360"/>
      </w:pPr>
      <w:r>
        <w:rPr>
          <w:rFonts w:ascii="Times New Roman" w:cs="Times New Roman" w:eastAsia="Times New Roman" w:hAnsi="Times New Roman"/>
          <w:sz w:val="26"/>
          <w:szCs w:val="26"/>
        </w:rPr>
        <w:t xml:space="preserve">Các giá trị thuộc tập hợp này có mức độ so sánh tin cậy tương đương nhau.</w:t>
      </w:r>
    </w:p>
    <w:p>
      <w:pPr>
        <w:spacing w:after="120" w:line="360"/>
      </w:pPr>
      <w:r>
        <w:rPr>
          <w:rFonts w:ascii="Times New Roman" w:cs="Times New Roman" w:eastAsia="Times New Roman" w:hAnsi="Times New Roman"/>
          <w:sz w:val="26"/>
          <w:szCs w:val="26"/>
        </w:rPr>
        <w:t xml:space="preserve">Trong trường hợp cần thiết, áp dụng phương pháp xác suất thống kê để xác định khoảng giá trị giao dịch độc lập chuẩn và giá trị trung vị mang tính chất đại diện, phổ quát, phổ biến nhằm tăng độ tin cậy của tập hợp các đối tượng so sánh độc lập.</w:t>
      </w:r>
    </w:p>
    <w:p>
      <w:pPr>
        <w:spacing w:after="120" w:line="360"/>
      </w:pPr>
      <w:r>
        <w:rPr>
          <w:rFonts w:ascii="Times New Roman" w:cs="Times New Roman" w:eastAsia="Times New Roman" w:hAnsi="Times New Roman"/>
          <w:sz w:val="26"/>
          <w:szCs w:val="26"/>
        </w:rPr>
        <w:t xml:space="preserve">9.</w:t>
      </w:r>
    </w:p>
    <w:p>
      <w:pPr>
        <w:spacing w:after="120" w:line="360"/>
      </w:pPr>
      <w:r>
        <w:rPr>
          <w:rFonts w:ascii="Times New Roman" w:cs="Times New Roman" w:eastAsia="Times New Roman" w:hAnsi="Times New Roman"/>
          <w:sz w:val="26"/>
          <w:szCs w:val="26"/>
        </w:rPr>
        <w:t xml:space="preserve">“Khoảng giá trị giao dịch độc lập chuẩn” là tập hợp các giá trị từ bách phân vị thứ 35 đến bách phân vị thứ 75; trung vị của khoảng giá trị giao dịch độc lập chuẩn là giá trị bách phân vị thứ 50 theo hàm xác suất thống kê.</w:t>
      </w:r>
    </w:p>
    <w:p>
      <w:pPr>
        <w:spacing w:after="120" w:line="360"/>
      </w:pPr>
      <w:r>
        <w:rPr>
          <w:rFonts w:ascii="Times New Roman" w:cs="Times New Roman" w:eastAsia="Times New Roman" w:hAnsi="Times New Roman"/>
          <w:sz w:val="26"/>
          <w:szCs w:val="26"/>
        </w:rPr>
        <w:t xml:space="preserve">10.</w:t>
      </w:r>
    </w:p>
    <w:p>
      <w:pPr>
        <w:spacing w:after="120" w:line="360"/>
      </w:pPr>
      <w:r>
        <w:rPr>
          <w:rFonts w:ascii="Times New Roman" w:cs="Times New Roman" w:eastAsia="Times New Roman" w:hAnsi="Times New Roman"/>
          <w:sz w:val="26"/>
          <w:szCs w:val="26"/>
        </w:rPr>
        <w:t xml:space="preserve">“Tổ chức thay mặt nộp báo cáo” là thuật ngữ sử dụng để chỉ tổ chức được Công ty mẹ tối cao của tập đoàn ủy quyền nộp Báo cáo lợi nhuận liên quốc gia của tập đoàn cho Cơ quan thuế.</w:t>
      </w:r>
    </w:p>
    <w:p>
      <w:pPr>
        <w:spacing w:after="120" w:line="360"/>
      </w:pPr>
      <w:r>
        <w:rPr>
          <w:rFonts w:ascii="Times New Roman" w:cs="Times New Roman" w:eastAsia="Times New Roman" w:hAnsi="Times New Roman"/>
          <w:sz w:val="26"/>
          <w:szCs w:val="26"/>
        </w:rPr>
        <w:t xml:space="preserve">Điều 5.</w:t>
      </w:r>
    </w:p>
    <w:p>
      <w:pPr>
        <w:spacing w:after="120" w:line="360"/>
      </w:pPr>
      <w:r>
        <w:rPr>
          <w:rFonts w:ascii="Times New Roman" w:cs="Times New Roman" w:eastAsia="Times New Roman" w:hAnsi="Times New Roman"/>
          <w:sz w:val="26"/>
          <w:szCs w:val="26"/>
        </w:rPr>
        <w:t xml:space="preserve">Các bên có quan hệ liên kết 1.</w:t>
      </w:r>
    </w:p>
    <w:p>
      <w:pPr>
        <w:spacing w:after="120" w:line="360"/>
      </w:pPr>
      <w:r>
        <w:rPr>
          <w:rFonts w:ascii="Times New Roman" w:cs="Times New Roman" w:eastAsia="Times New Roman" w:hAnsi="Times New Roman"/>
          <w:sz w:val="26"/>
          <w:szCs w:val="26"/>
        </w:rPr>
        <w:t xml:space="preserve">Các bên có quan hệ liên kết (sau đây viết tắt là “bên liên kết”) là các bên có mối quan hệ thuộc một trong các trường hợp: a) Một bên tham gia trực tiếp hoặc gián tiếp vào việc điều hành, kiểm soát, góp vốn hoặc đầu tư vào bên kia; b) Các bên trực tiếp hay gián tiếp cùng chịu sự điều hành, kiểm soát, góp vốn hoặc đầu tư của một bên khác.</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Các bên liên kết tại khoản 1 điều này được quy định cụ thể như sau: a) Một doanh nghiệp nắm giữ trực tiếp hoặc gián tiếp ít nhất 25% vốn góp của chủ sở hữu của doanh nghiệp kia; b) Cả hai doanh nghiệp đều có ít nhất 25% vốn góp của chủ sở hữu do một bên thứ ba nắm giữ trực tiếp hoặc gián tiếp; c) Một doanh nghiệp là cổ đông lớn nhất về vốn góp của chủ sở hữu và nắm giữ trực tiếp hoặc gián tiếp ít nhất 10% tổng số cổ phần của doanh nghiệp kia; d) Một doanh nghiệp bảo lãnh hoặc cho một doanh nghiệp khác vay vốn dưới bất kỳ hình thức nào (bao gồm cả các khoản vay từ bên thứ ba được đảm bảo từ nguồn tài chính của bên liên kết và các giao dịch tài chính có bản chất tương tự) với điều kiện khoản vốn vay ít nhất bằng 25% vốn góp của chủ sở hữu của doanh nghiệp đi vay và chiếm trên 50% tổng giá trị các khoản nợ trung và dài hạn của doanh nghiệp đi vay; đ) Một doanh nghiệp chỉ định thành viên ban lãnh đạo điều hành hoặc nắm quyền kiểm soát của một doanh nghiệp khác với điều kiện số lượng các thành viên được doanh nghiệp thứ nhất chỉ định chiếm trên 50% tổng số thành viên ban lãnh đạo điều hành hoặc nắm quyền kiểm soát của doanh nghiệp thứ hai; hoặc một thành viên được doanh nghiệp thứ nhất chỉ định có quyền quyết định các chính sách tài chính hoặc hoạt động kinh doanh của doanh nghiệp thứ hai; e) Hai doanh nghiệp cùng có trên 50% thành viên ban lãnh đạo hoặc cùng có một thành viên ban lãnh đạo có quyền quyết định các chính sách tài chính hoặc hoạt động kinh doanh được chỉ định bởi một bên thứ ba; g) Hai doanh nghiệp được điều hành hoặc chịu sự kiểm soát về nhân sự, tài chính và hoạt động kinh doanh bởi các cá nhân thuộc một trong các mối quan hệ vợ, chồng; cha mẹ đẻ, cha mẹ nuôi, cha dượng, mẹ kế, cha mẹ vợ, cha mẹ chồng; con đẻ, con nuôi, con riêng của vợ hoặc chồng, con dâu, con rể; anh, chị, em cùng cha mẹ, anh, chị em cùng cha khác mẹ, anh, chị, em cùng mẹ khác cha, anh rể, em rể, chị dâu, em dâu của người cùng cha mẹ hoặc cùng cha khác mẹ, cùng mẹ khác cha; ông bà nội, ông bà ngoại; cháu nội, cháu ngoại; cô, dì, chú, cậu, bác ruột và cháu ruột; h) Hai cơ sở kinh doanh có mối quan hệ trụ sở chính và cơ sở thường trú hoặc cùng là cơ sở thường trú của tổ chức, cá nhân nước ngoài; i) Các doanh nghiệp chịu sự kiểm soát của một cá nhân thông qua vốn góp của cá nhân này vào doanh nghiệp đó hoặc trực tiếp tham gia điều hành doanh nghiệp; k) Các trường hợp khác trong đó doanh nghiệp chịu sự điều hành, kiểm soát, quyết định trên thực tế đối với hoạt động sản xuất kinh doanh của doanh nghiệp kia; l) Doanh nghiệp có phát sinh các giao dịch nhượng, nhận chuyển nhượng vốn góp ít nhất 25% vốn góp của chủ sở hữu của doanh nghiệp trong kỳ tính thuế; vay, cho vay ít nhất 10% vốn góp của chủ sở hữu tại thời điểm phát sinh giao dịch trong kỳ tính thuế với cá nhân điều hành, kiểm soát doanh nghiệp hoặc với cá nhân thuộc trong một các mối quan hệ theo quy định tại điểm g khoản này.</w:t>
      </w:r>
    </w:p>
    <w:p>
      <w:pPr>
        <w:spacing w:after="120" w:line="360"/>
      </w:pPr>
      <w:r>
        <w:rPr>
          <w:rFonts w:ascii="Times New Roman" w:cs="Times New Roman" w:eastAsia="Times New Roman" w:hAnsi="Times New Roman"/>
          <w:sz w:val="26"/>
          <w:szCs w:val="26"/>
        </w:rPr>
        <w:t xml:space="preserve">Chương II PHÂN TÍCH, SO SÁNH, LỰA CHỌN ĐỐI TƯỢNG SO SÁNH ĐỘC LẬP VÀ CÁC PHƯƠNG PHÁP XÁC ĐỊNH GIÁ GIAO DỊCH LIÊN KẾT Điều 6.</w:t>
      </w:r>
    </w:p>
    <w:p>
      <w:pPr>
        <w:spacing w:after="120" w:line="360"/>
      </w:pPr>
      <w:r>
        <w:rPr>
          <w:rFonts w:ascii="Times New Roman" w:cs="Times New Roman" w:eastAsia="Times New Roman" w:hAnsi="Times New Roman"/>
          <w:sz w:val="26"/>
          <w:szCs w:val="26"/>
        </w:rPr>
        <w:t xml:space="preserve">Nguyên tắc phân tích, so sánh 1.</w:t>
      </w:r>
    </w:p>
    <w:p>
      <w:pPr>
        <w:spacing w:after="120" w:line="360"/>
      </w:pPr>
      <w:r>
        <w:rPr>
          <w:rFonts w:ascii="Times New Roman" w:cs="Times New Roman" w:eastAsia="Times New Roman" w:hAnsi="Times New Roman"/>
          <w:sz w:val="26"/>
          <w:szCs w:val="26"/>
        </w:rPr>
        <w:t xml:space="preserve">Phân tích, so sánh giao dịch liên kết thực hiện theo nguyên tắc bản chất hoạt động, giao dịch quyết định nghĩa vụ thuế để xác định bản chất giao dịch liên kết: a) Bản chất giao dịch được đối chiếu giữa hợp đồng pháp lý hoặc văn bản, thỏa thuận giao dịch của các bên liên kết với thực tiễn thực hiện của các bên.</w:t>
      </w:r>
    </w:p>
    <w:p>
      <w:pPr>
        <w:spacing w:after="120" w:line="360"/>
      </w:pPr>
      <w:r>
        <w:rPr>
          <w:rFonts w:ascii="Times New Roman" w:cs="Times New Roman" w:eastAsia="Times New Roman" w:hAnsi="Times New Roman"/>
          <w:sz w:val="26"/>
          <w:szCs w:val="26"/>
        </w:rPr>
        <w:t xml:space="preserve">Trường hợp người nộp thuế phát sinh giao dịch liên kết nhưng không có thỏa thuận bằng văn bản hoặc thỏa thuận không phù hợp nguyên tắc giao dịch độc lập hoặc thực tế thực hiện không phù hợp nguyên tắc giao dịch độc lập giữa các bên không có quan hệ liên kết, giao dịch liên kết phải được xác định theo đúng bản chất kinh doanh giữa các bên độc lập, cụ thể: Bên liên kết nhận doanh thu, lợi nhuận từ giao dịch liên kết với người nộp thuế phải có quyền sở hữu và kiểm soát rủi ro kinh doanh đối với các tài sản, hàng hóa, dịch vụ, nguồn lực, quyền mang lại lợi ích kinh tế và các quyền tạo ra thu nhập từ cổ phần, cổ phiếu và các công cụ tài chính khác và người nộp thuế phát sinh chi phí từ giao dịch với bên liên kết phải nhận được lợi ích, giá trị kinh tế trực tiếp hoặc góp phần tạo ra doanh thu, giá trị gia tăng cho hoạt động sản xuất, kinh doanh của người nộp thuế phù hợp nguyên tắc giao dịch độc lập; b) Bản chất giao dịch được xác định bằng phương pháp thu thập thông tin, chứng cứ, dữ liệu về giao dịch, rủi ro của các bên liên kết trong thực tiễn hoạt động sản xuất kinh doanh.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Phân tích, so sánh giao dịch liên kết với giao dịch độc lập: a) Căn cứ đối chiếu các hợp đồng, văn bản, thỏa thuận và quan hệ kinh tế, thương mại, tài chính trong các giao dịch liên kết của người nộp thuế là dữ liệu, thực tế thực hiện giao dịch giữa các bên liên kết để so sánh với các quyết định kinh doanh có thể được các bên độc lập chấp thuận trong điều kiện tương đồng.</w:t>
      </w:r>
    </w:p>
    <w:p>
      <w:pPr>
        <w:spacing w:after="120" w:line="360"/>
      </w:pPr>
      <w:r>
        <w:rPr>
          <w:rFonts w:ascii="Times New Roman" w:cs="Times New Roman" w:eastAsia="Times New Roman" w:hAnsi="Times New Roman"/>
          <w:sz w:val="26"/>
          <w:szCs w:val="26"/>
        </w:rPr>
        <w:t xml:space="preserve">Nguyên tắc đối chiếu áp dụng trong phân tích, so sánh coi trọng bản chất và thực tiễn kinh doanh, rủi ro gánh chịu của các bên liên kết hơn là các thỏa thuận bằng văn bản; b) Phân tích, so sánh phải đảm bảo tính tương đồng giữa doanh nghiệp thực hiện giao dịch độc lập với doanh nghiệp có giao dịch liên kết hoặc giao dịch độc lập với giao dịch liên kết, không có yếu tố khác biệt ảnh hưởng trọng yếu đến mức giá; tỷ suất lợi nhuận hoặc tỷ lệ phân bổ lợi nhuận giữa các bên.</w:t>
      </w:r>
    </w:p>
    <w:p>
      <w:pPr>
        <w:spacing w:after="120" w:line="360"/>
      </w:pPr>
      <w:r>
        <w:rPr>
          <w:rFonts w:ascii="Times New Roman" w:cs="Times New Roman" w:eastAsia="Times New Roman" w:hAnsi="Times New Roman"/>
          <w:sz w:val="26"/>
          <w:szCs w:val="26"/>
        </w:rPr>
        <w:t xml:space="preserve">Trường hợp có yếu tố khác biệt ảnh hưởng trọng yếu đến mức giá; tỷ suất lợi nhuận hoặc tỷ lệ phân bổ lợi nhuận, phải phân tích, xác định và thực hiện điều chỉnh loại trừ yếu tố khác biệt trọng yếu đó thông qua so sánh các yếu tố quy định tại Điều 7, Điều 10 Nghị định này và phù hợp với từng phương pháp xác định giá giao dịch liên kết quy định tại Điều 13, Điều 14, Điều 15 Nghị định này.</w:t>
      </w:r>
    </w:p>
    <w:p>
      <w:pPr>
        <w:spacing w:after="120" w:line="360"/>
      </w:pPr>
      <w:r>
        <w:rPr>
          <w:rFonts w:ascii="Times New Roman" w:cs="Times New Roman" w:eastAsia="Times New Roman" w:hAnsi="Times New Roman"/>
          <w:sz w:val="26"/>
          <w:szCs w:val="26"/>
        </w:rPr>
        <w:t xml:space="preserve">Điều 7.</w:t>
      </w:r>
    </w:p>
    <w:p>
      <w:pPr>
        <w:spacing w:after="120" w:line="360"/>
      </w:pPr>
      <w:r>
        <w:rPr>
          <w:rFonts w:ascii="Times New Roman" w:cs="Times New Roman" w:eastAsia="Times New Roman" w:hAnsi="Times New Roman"/>
          <w:sz w:val="26"/>
          <w:szCs w:val="26"/>
        </w:rPr>
        <w:t xml:space="preserve">Lựa chọn đối tượng so sánh độc lập 1.</w:t>
      </w:r>
    </w:p>
    <w:p>
      <w:pPr>
        <w:spacing w:after="120" w:line="360"/>
      </w:pPr>
      <w:r>
        <w:rPr>
          <w:rFonts w:ascii="Times New Roman" w:cs="Times New Roman" w:eastAsia="Times New Roman" w:hAnsi="Times New Roman"/>
          <w:sz w:val="26"/>
          <w:szCs w:val="26"/>
        </w:rPr>
        <w:t xml:space="preserve">Lựa chọn đối tượng so sánh độc lập nội bộ là việc lựa chọn giao dịch của chính người nộp thuế với bên không có quan hệ liên kết, đảm bảo tương đồng không có khác biệt ảnh hưởng trọng yếu đến mức giá; tỷ suất lợi nhuận hoặc tỷ lệ phân bổ lợi nhuận giữa các bên.</w:t>
      </w:r>
    </w:p>
    <w:p>
      <w:pPr>
        <w:spacing w:after="120" w:line="360"/>
      </w:pPr>
      <w:r>
        <w:rPr>
          <w:rFonts w:ascii="Times New Roman" w:cs="Times New Roman" w:eastAsia="Times New Roman" w:hAnsi="Times New Roman"/>
          <w:sz w:val="26"/>
          <w:szCs w:val="26"/>
        </w:rPr>
        <w:t xml:space="preserve">Trường hợp không có đối tượng so sánh độc lập nội bộ tương đồng, thực hiện lựa chọn đối tượng so sánh theo điểm b và c khoản 3 điều 17 Nghị định này.</w:t>
      </w:r>
    </w:p>
    <w:p>
      <w:pPr>
        <w:spacing w:after="120" w:line="360"/>
      </w:pPr>
      <w:r>
        <w:rPr>
          <w:rFonts w:ascii="Times New Roman" w:cs="Times New Roman" w:eastAsia="Times New Roman" w:hAnsi="Times New Roman"/>
          <w:sz w:val="26"/>
          <w:szCs w:val="26"/>
        </w:rPr>
        <w:t xml:space="preserve">Việc so sánh giữa giao dịch liên kết và giao dịch độc lập được thực hiện trên cơ sở từng giao dịch đối với từng sản phẩm tương đồng.</w:t>
      </w:r>
    </w:p>
    <w:p>
      <w:pPr>
        <w:spacing w:after="120" w:line="360"/>
      </w:pPr>
      <w:r>
        <w:rPr>
          <w:rFonts w:ascii="Times New Roman" w:cs="Times New Roman" w:eastAsia="Times New Roman" w:hAnsi="Times New Roman"/>
          <w:sz w:val="26"/>
          <w:szCs w:val="26"/>
        </w:rPr>
        <w:t xml:space="preserve">Trường hợp không thể so sánh giao dịch theo sản phẩm, việc gộp chung các giao dịch phải đảm bảo phù hợp bản chất, thực tiễn kinh doanh và việc áp dụng phương pháp xác định giá của giao dịch liên kết được thực hiện theo quy định tại Điều 12, Điều 13, Điều 14, Điều 15 Nghị định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Dữ liệu tài chính, kinh doanh của các đối tượng so sánh phải đảm bảo độ tin cậy để sử dụng cho mục đích kê khai, tính thuế, phù hợp với các quy định về kế toán, thống kê và thuế.</w:t>
      </w:r>
    </w:p>
    <w:p>
      <w:pPr>
        <w:spacing w:after="120" w:line="360"/>
      </w:pPr>
      <w:r>
        <w:rPr>
          <w:rFonts w:ascii="Times New Roman" w:cs="Times New Roman" w:eastAsia="Times New Roman" w:hAnsi="Times New Roman"/>
          <w:sz w:val="26"/>
          <w:szCs w:val="26"/>
        </w:rPr>
        <w:t xml:space="preserve">Thời điểm phát sinh giao dịch của các đối tượng so sánh độc lập phải cùng thời điểm phát sinh với giao dịch liên kết hoặc có năm tài chính cùng với năm tài chính của người nộp thuế, trừ trường hợp đặc thù cần thiết mở rộng thời gian so sánh theo quy định tại Điều 9 Nghị định này.</w:t>
      </w:r>
    </w:p>
    <w:p>
      <w:pPr>
        <w:spacing w:after="120" w:line="360"/>
      </w:pPr>
      <w:r>
        <w:rPr>
          <w:rFonts w:ascii="Times New Roman" w:cs="Times New Roman" w:eastAsia="Times New Roman" w:hAnsi="Times New Roman"/>
          <w:sz w:val="26"/>
          <w:szCs w:val="26"/>
        </w:rPr>
        <w:t xml:space="preserve">Định dạng dữ liệu phải đảm bảo có thể so sánh, tính toán được các mức giá tại thời điểm giao dịch hoặc trong cùng kỳ tính thuế; dữ liệu so sánh về tỷ suất lợi nhuận hoặc tỷ lệ phân bổ lợi nhuận phải đảm bảo ít nhất là ba kỳ tính thuế liên tục.</w:t>
      </w:r>
    </w:p>
    <w:p>
      <w:pPr>
        <w:spacing w:after="120" w:line="360"/>
      </w:pPr>
      <w:r>
        <w:rPr>
          <w:rFonts w:ascii="Times New Roman" w:cs="Times New Roman" w:eastAsia="Times New Roman" w:hAnsi="Times New Roman"/>
          <w:sz w:val="26"/>
          <w:szCs w:val="26"/>
        </w:rPr>
        <w:t xml:space="preserve">Đối với các giá trị tỷ suất, tỷ lệ tương đối, người nộp thuế làm tròn số đến chữ số thứ hai sau dấu thập phân.</w:t>
      </w:r>
    </w:p>
    <w:p>
      <w:pPr>
        <w:spacing w:after="120" w:line="360"/>
      </w:pPr>
      <w:r>
        <w:rPr>
          <w:rFonts w:ascii="Times New Roman" w:cs="Times New Roman" w:eastAsia="Times New Roman" w:hAnsi="Times New Roman"/>
          <w:sz w:val="26"/>
          <w:szCs w:val="26"/>
        </w:rPr>
        <w:t xml:space="preserve">Trường hợp số tương đối được lấy từ các số liệu công bố không có số tuyệt đối đi kèm và không sử dụng nguyên tắc làm tròn này thì lấy theo số liệu đã công bố có trích dẫn nguồn.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Số lượng tối thiểu đối tượng so sánh độc lập được chọn sau khi phân tích, so sánh và điều chỉnh khác biệt trọng yếu được lựa chọn như sau: 01 đối tượng trong trường hợp giao dịch liên kết hoặc người nộp thuế thực hiện giao dịch liên kết và đối tượng so sánh độc lập không có khác biệt; 03 đối tượng trong trường hợp đối tượng so sánh độc lập có khác biệt nhưng có đủ thông tin, dữ liệu làm cơ sở để loại trừ tất cả các khác biệt trọng yếu và 05 đối tượng trong trường hợp chỉ có thông tin, dữ liệu làm cơ sở để loại trừ hầu hết các khác biệt trọng yếu của đối tượng so sánh độc lập.</w:t>
      </w:r>
    </w:p>
    <w:p>
      <w:pPr>
        <w:spacing w:after="120" w:line="360"/>
      </w:pPr>
      <w:r>
        <w:rPr>
          <w:rFonts w:ascii="Times New Roman" w:cs="Times New Roman" w:eastAsia="Times New Roman" w:hAnsi="Times New Roman"/>
          <w:sz w:val="26"/>
          <w:szCs w:val="26"/>
        </w:rPr>
        <w:t xml:space="preserve">Điều 8.</w:t>
      </w:r>
    </w:p>
    <w:p>
      <w:pPr>
        <w:spacing w:after="120" w:line="360"/>
      </w:pPr>
      <w:r>
        <w:rPr>
          <w:rFonts w:ascii="Times New Roman" w:cs="Times New Roman" w:eastAsia="Times New Roman" w:hAnsi="Times New Roman"/>
          <w:sz w:val="26"/>
          <w:szCs w:val="26"/>
        </w:rPr>
        <w:t xml:space="preserve">Điều chỉnh mức giá, tỷ suất lợi nhuận, tỷ lệ phân bổ lợi nhuận của người nộp thuế 1.</w:t>
      </w:r>
    </w:p>
    <w:p>
      <w:pPr>
        <w:spacing w:after="120" w:line="360"/>
      </w:pPr>
      <w:r>
        <w:rPr>
          <w:rFonts w:ascii="Times New Roman" w:cs="Times New Roman" w:eastAsia="Times New Roman" w:hAnsi="Times New Roman"/>
          <w:sz w:val="26"/>
          <w:szCs w:val="26"/>
        </w:rPr>
        <w:t xml:space="preserve">Trường hợp tìm kiếm được các đối tượng so sánh độc lập có mức độ so sánh tin cậy tương đương nhau, không có khác biệt hoặc có khác biệt nhưng có đủ thông tin, dữ liệu làm cơ sở để loại trừ tất cả các khác biệt trọng yếu: a) Nếu mức giá, tỷ suất lợi nhuận, tỷ lệ phân bổ lợi nhuận của người nộp thuế thuộc khoảng giá trị giao dịch độc lập của các đối tượng so sánh độc lập tương đồng thì người nộp thuế không phải thực hiện điều chỉnh mức giá, tỷ suất lợi nhuận, tỷ lệ phân bổ lợi nhuận để xác định giá giao dịch liên kết; b) Nếu mức giá, tỷ suất lợi nhuận, tỷ lệ phân bổ lợi nhuận của người nộp thuế không thuộc khoảng giá trị giao dịch độc lập của các đối tượng so sánh độc lập tương đồng thì người nộp thuế phải xác định giá trị thuộc khoảng giao dịch độc lập phản ánh mức độ tương đồng cao nhất với giao dịch liên kết để điều chỉnh mức giá, tỷ suất lợi nhuận, tỷ lệ phân bổ lợi nhuận của giao dịch liên kết nhưng không làm giảm thu nhập chịu thuế, không làm giảm nghĩa vụ thuế phải nộp ngân sách nhà nước của người nộp thuế.</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Trường hợp chỉ có thông tin dữ liệu làm cơ sở để loại trừ hầu hết các khác biệt trọng yếu của đối tượng so sánh độc lập, tối thiểu lựa chọn 05 đối tượng so sánh độc lập và áp dụng khoảng giá trị giao dịch độc lập chuẩn theo hướng dẫn tại Phụ lục V ban hành kèm theo Nghị định này.</w:t>
      </w:r>
    </w:p>
    <w:p>
      <w:pPr>
        <w:spacing w:after="120" w:line="360"/>
      </w:pPr>
      <w:r>
        <w:rPr>
          <w:rFonts w:ascii="Times New Roman" w:cs="Times New Roman" w:eastAsia="Times New Roman" w:hAnsi="Times New Roman"/>
          <w:sz w:val="26"/>
          <w:szCs w:val="26"/>
        </w:rPr>
        <w:t xml:space="preserve">Việc lựa chọn giá trị thuộc khoảng giá trị giao dịch độc lập chuẩn để điều chỉnh, xác định lại mức giá, tỷ suất lợi nhuận hoặc tỷ lệ phân bổ lợi nhuận của người nộp thuế như sau: a) Nếu mức giá, tỷ suất lợi nhuận, tỷ lệ phân bổ lợi nhuận của người nộp thuế là giá trị thuộc khoảng giá trị giao dịch độc lập chuẩn của các đối tượng so sánh độc lập tương đồng, người nộp thuế không phải điều chỉnh mức giá, tỷ suất lợi nhuận, tỷ lệ phân bổ lợi nhuận để xác định giá giao dịch liên kết; b) Trường hợp mức giá, tỷ suất lợi nhuận, tỷ lệ phân bổ lợi nhuận của người nộp thuế không thuộc khoảng giá trị giao dịch độc lập chuẩn của các đối tượng so sánh độc lập tương đồng, người nộp thuế phải xác định giá trị thuộc khoảng giao dịch độc lập chuẩn phản ánh mức độ tương đồng cao nhất với giao dịch liên kết để điều chỉnh mức giá, tỷ suất lợi nhuận, tỷ lệ phân bổ lợi nhuận của giao dịch liên kết và xác định thu nhập chịu thuế, số thuế phải nộp nhưng không làm giảm thu nhập chịu thuế, không làm giảm nghĩa vụ thuế phải nộp ngân sách nhà nước; c) Trường hợp cơ quan thuế thực hiện điều chỉnh hoặc ấn định mức giá, tỷ suất lợi nhuận, tỷ lệ phân bổ lợi nhuận của người nộp thuế, giá trị điều chỉnh hoặc ấn định là giá trị trung vị của khoảng giá trị giao dịch độc lập chuẩn.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Căn cứ phương pháp xác định giá giao dịch liên kết và các đối tượng so sánh độc lập được lựa chọn, thực hiện điều chỉnh mức giá; tỷ suất lợi nhuận hoặc tỷ lệ phân bổ lợi nhuận của người nộp thuế để xác định nghĩa vụ thuế thu nhập doanh nghiệp của người nộp thuế không làm giảm nghĩa vụ thuế phải nộp ngân sách nhà nước.</w:t>
      </w:r>
    </w:p>
    <w:p>
      <w:pPr>
        <w:spacing w:after="120" w:line="360"/>
      </w:pPr>
      <w:r>
        <w:rPr>
          <w:rFonts w:ascii="Times New Roman" w:cs="Times New Roman" w:eastAsia="Times New Roman" w:hAnsi="Times New Roman"/>
          <w:sz w:val="26"/>
          <w:szCs w:val="26"/>
        </w:rPr>
        <w:t xml:space="preserve">Điều 9.</w:t>
      </w:r>
    </w:p>
    <w:p>
      <w:pPr>
        <w:spacing w:after="120" w:line="360"/>
      </w:pPr>
      <w:r>
        <w:rPr>
          <w:rFonts w:ascii="Times New Roman" w:cs="Times New Roman" w:eastAsia="Times New Roman" w:hAnsi="Times New Roman"/>
          <w:sz w:val="26"/>
          <w:szCs w:val="26"/>
        </w:rPr>
        <w:t xml:space="preserve">Mở rộng phạm vi phân tích, so sánh 1.</w:t>
      </w:r>
    </w:p>
    <w:p>
      <w:pPr>
        <w:spacing w:after="120" w:line="360"/>
      </w:pPr>
      <w:r>
        <w:rPr>
          <w:rFonts w:ascii="Times New Roman" w:cs="Times New Roman" w:eastAsia="Times New Roman" w:hAnsi="Times New Roman"/>
          <w:sz w:val="26"/>
          <w:szCs w:val="26"/>
        </w:rPr>
        <w:t xml:space="preserve">Đối với giao dịch liên kết mang tính đặc thù hoặc duy nhất không tìm kiếm được đối tượng so sánh độc lập để so sánh thì thực hiện mở rộng phạm vi phân tích, so sánh về ngành, thị trường địa lý, thời gian so sánh để tìm kiếm đối tượng so sánh độc lập.</w:t>
      </w:r>
    </w:p>
    <w:p>
      <w:pPr>
        <w:spacing w:after="120" w:line="360"/>
      </w:pPr>
      <w:r>
        <w:rPr>
          <w:rFonts w:ascii="Times New Roman" w:cs="Times New Roman" w:eastAsia="Times New Roman" w:hAnsi="Times New Roman"/>
          <w:sz w:val="26"/>
          <w:szCs w:val="26"/>
        </w:rPr>
        <w:t xml:space="preserve">Việc mở rộng phạm vi phân tích, so sánh được thực hiện như sau: a) Lựa chọn các đối tượng so sánh độc lập theo phân ngành kinh tế thống kê có tính tương đồng cao nhất với phân ngành hoạt động của người nộp thuế trong cùng thị trường địa bàn, cùng địa phương, trong nước; b) Mở rộng địa bàn so sánh sang các nước trong khu vực có điều kiện ngành và trình độ phát triển kinh tế tương đồng.</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Trường hợp mở rộng phạm vi phân tích lựa chọn đối tượng so sánh độc lập tại các địa bàn nêu trên, phải phân tích tính tương đồng và các khác biệt trọng yếu định tính và định lượng theo quy định tại khoản 6 Điều 10 và Điều 14 Nghị định này hoặc sử dụng số liệu, dữ liệu của các đối tượng so sánh độc lập trong niên độ trước và thực hiện điều chỉnh các khác biệt trọng yếu do yếu tố thời gian (nếu có).</w:t>
      </w:r>
    </w:p>
    <w:p>
      <w:pPr>
        <w:spacing w:after="120" w:line="360"/>
      </w:pPr>
      <w:r>
        <w:rPr>
          <w:rFonts w:ascii="Times New Roman" w:cs="Times New Roman" w:eastAsia="Times New Roman" w:hAnsi="Times New Roman"/>
          <w:sz w:val="26"/>
          <w:szCs w:val="26"/>
        </w:rPr>
        <w:t xml:space="preserve">Thời gian mở rộng thu thập số liệu, dữ liệu của đối tượng so sánh độc lập không quá một năm tài chính so với năm tài chính của người nộp thuế nếu sử dụng phương pháp xác định giá giao dịch liên kết quy định tại Điều 14 Nghị định này.</w:t>
      </w:r>
    </w:p>
    <w:p>
      <w:pPr>
        <w:spacing w:after="120" w:line="360"/>
      </w:pPr>
      <w:r>
        <w:rPr>
          <w:rFonts w:ascii="Times New Roman" w:cs="Times New Roman" w:eastAsia="Times New Roman" w:hAnsi="Times New Roman"/>
          <w:sz w:val="26"/>
          <w:szCs w:val="26"/>
        </w:rPr>
        <w:t xml:space="preserve">Điều 10.</w:t>
      </w:r>
    </w:p>
    <w:p>
      <w:pPr>
        <w:spacing w:after="120" w:line="360"/>
      </w:pPr>
      <w:r>
        <w:rPr>
          <w:rFonts w:ascii="Times New Roman" w:cs="Times New Roman" w:eastAsia="Times New Roman" w:hAnsi="Times New Roman"/>
          <w:sz w:val="26"/>
          <w:szCs w:val="26"/>
        </w:rPr>
        <w:t xml:space="preserve">Các tiêu thức để phân tích, so sánh, điều chỉnh khác biệt trọng yếu 1.</w:t>
      </w:r>
    </w:p>
    <w:p>
      <w:pPr>
        <w:spacing w:after="120" w:line="360"/>
      </w:pPr>
      <w:r>
        <w:rPr>
          <w:rFonts w:ascii="Times New Roman" w:cs="Times New Roman" w:eastAsia="Times New Roman" w:hAnsi="Times New Roman"/>
          <w:sz w:val="26"/>
          <w:szCs w:val="26"/>
        </w:rPr>
        <w:t xml:space="preserve">Phân tích, so sánh áp dụng phương pháp đối chiếu, rà soát, điều chỉnh khác biệt trọng yếu đối với các yếu tố so sánh để lựa chọn các đối tượng so sánh độc lập gồm đặc tính sản phẩm của hàng hóa, dịch vụ, tài sản (sau đây viết tắt là đặc tính sản phẩm); chức năng hoạt động và tài sản, rủi ro sản xuất kinh doanh; điều kiện hợp đồng và điều kiện kinh tế khi phát sinh giao dịch.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Đặc tính sản phẩm là các đặc tính có ảnh hưởng đến giá của sản phẩm bao gồm: đặc tính hàng hóa hữu hình như đặc tính vật lý, chủng loại sản phẩm, chất lượng, nhân hiệu thương mại của sản phẩm, độ tin cậy, tính sẵn có và sản lượng cung cấp; đặc tính dịch vụ như bản chất, mức độ phức tạp, chuyên môn và phạm vi dịch vụ; đặc tính tài sản vô hình như hình thức chuyển giao, loại hình tài sản, hình thức sở hữu, thời hạn, mức độ bảo hộ sở hữu, thời gian chuyển giao, các quyền được chuyển giao và các lợi ích có thể thu được từ việc sử dụng tài sản vô hình.</w:t>
      </w:r>
    </w:p>
    <w:p>
      <w:pPr>
        <w:spacing w:after="120" w:line="360"/>
      </w:pPr>
      <w:r>
        <w:rPr>
          <w:rFonts w:ascii="Times New Roman" w:cs="Times New Roman" w:eastAsia="Times New Roman" w:hAnsi="Times New Roman"/>
          <w:sz w:val="26"/>
          <w:szCs w:val="26"/>
        </w:rPr>
        <w:t xml:space="preserve">a) Phân tích tài sản vô hình và khả năng phân bổ lợi nhuận cho các bên liên kết không chỉ căn cứ vào quyền sở hữu pháp lý mà phải xem xét tất cả các hoạt động kiểm soát rủi ro và năng lực tài chính để quản lý rủi ro đối với toàn bộ quá trình phát triển, gia tăng, duy trì, bảo hộ và khai thác tài sản vô hình giữa các bên liên kết.</w:t>
      </w:r>
    </w:p>
    <w:p>
      <w:pPr>
        <w:spacing w:after="120" w:line="360"/>
      </w:pPr>
      <w:r>
        <w:rPr>
          <w:rFonts w:ascii="Times New Roman" w:cs="Times New Roman" w:eastAsia="Times New Roman" w:hAnsi="Times New Roman"/>
          <w:sz w:val="26"/>
          <w:szCs w:val="26"/>
        </w:rPr>
        <w:t xml:space="preserve">Việc phân tích, so sánh căn cứ vào một số đặc điểm của tài sản vô hình như tính độc quyền; phạm vi và thời hạn bảo hộ pháp lý; các quyền xác lập theo văn bằng bảo hộ, giấy phép và văn bản chuyển giao quyền của tài sản vô hình; phạm vi địa lý đối với các quyền của tài sản vô hình; vòng đời; giai đoạn phát triển; quyền về tăng cường giá trị, sửa đổi và cập nhật đối với tài sản vô hình; mức lợi nhuận dự kiến của tài sản vô hình; b) Phân tích đặc điểm tài sản vô hình bao gồm các nội dung xác định tài sản vô hình sử dụng hoặc chuyển nhượng trong giao dịch và những rủi ro cụ thể, trọng yếu về kinh tế liên quan đến phát triển, gia tăng, duy trì, bảo vệ và khai thác tài sản vô hình; xác định thỏa thuận tại hợp đồng như quyền sở hữu pháp lý đối với tài sản vô hình, các điều khoản và điều kiện của thỏa thuận pháp lý, đăng ký, thỏa thuận về giấy phép và các hợp đồng liên quan, các rủi ro kèm theo; xác định bên thực hiện chức năng khai thác, sử dụng tài sản, quản lý rủi ro liên quan đến phát triển, gia tăng, duy trì, bảo hộ và khai thác tài sản vô hình; xác định các điều khoản thỏa thuận theo hợp đồng và thực tiễn thực hiện của các bên; xác định giao dịch liên kết thực tế liên quan đến phát triển, gia tăng, duy trì, bảo hộ và khai thác tài sản vô hình khi xem xét quyền sở hữu pháp lý của tài sản vô hình và các mối quan hệ, các quyền theo hợp đồng có liên quan, quá trình thực hiện của các bên và xác định giá của giao dịch phù hợp với đóng góp, chức năng thực hiện, tài sản sử dụng và rủi ro giả định của các bên.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Chức năng hoạt động, tài sản và rủi ro sản xuất kinh doanh do mỗi bên của hợp đồng thực hiện và tài sản, rủi ro sản xuất kinh doanh trong mối quan hệ với các chi phí cơ hội, điều kiện kinh tế, điều kiện ngành, lĩnh vực hoạt động và vị trí địa lý của người nộp thuế được phân tích để xác định các yếu tố phản ánh khả năng thu lợi nhuận từ các hoạt động và thực tiễn kinh doanh mà người nộp thuế đã thực hiện gắn với chức năng và việc sử dụng các tài sản, vốn và chi phí có liên quan.</w:t>
      </w:r>
    </w:p>
    <w:p>
      <w:pPr>
        <w:spacing w:after="120" w:line="360"/>
      </w:pPr>
      <w:r>
        <w:rPr>
          <w:rFonts w:ascii="Times New Roman" w:cs="Times New Roman" w:eastAsia="Times New Roman" w:hAnsi="Times New Roman"/>
          <w:sz w:val="26"/>
          <w:szCs w:val="26"/>
        </w:rPr>
        <w:t xml:space="preserve">Kết quả phân tích phản ánh chức năng chính trong mối quan hệ giữa việc sử dụng các loại tài sản, vốn, chi phí cơ hội cũng như rủi ro gắn với việc đầu tư tài sản, vốn và chi phí đó với khả năng thu lợi nhuận mà người nộp thuế thực hiện có liên quan đến giao dịch kinh doanh, cụ thể: a) Một số chức năng chính của doanh nghiệp được phân tích trong toàn bộ chuỗi giá trị của tập đoàn bao gồm nghiên cứu, phát triển như thực hiện dịch vụ nghiên cứu phát triển theo hợp đồng, tự chủ nghiên cứu phát triển, phát triển công nghệ kỹ thuật và thiết kế sản phẩm; sản xuất gồm sản xuất tự chủ, sản xuất cấp phép, sản xuất theo hợp đồng, gia công, lắp ráp, cài đặt thiết bị; mua bán, quản lý nguyên vật liệu và các hoạt động mua bán khác; phân phối gồm phân phối tự chủ, phân phối rủi ro hạn chế, đại lý hoa hồng, phân phối bán buôn, phân phối bán lẻ; cung cấp dịch vụ hỗ trợ như pháp lý, kế toán tài chính, tín dụng thu nợ, đào tạo và quản lý nhân sự; cung cấp dịch vụ vận chuyển, lưu kho; thực hiện phát triển thương hiệu như hoạt động marketing, quảng cáo, quảng bá, nghiên cứu thị trường và chức năng khác trong chuỗi giá trị ngành; b) Một số tài sản chính của doanh nghiệp gồm tài sản vô hình như bí quyết kỹ thuật, bản quyền, bí quyết kinh doanh, công thức bí mật, bằng sáng chế, các tài sản vô hình liên quan tới hoạt động thương mại, marketing như thương hiệu, hệ thống xây dựng và nhận diện thương hiệu, danh sách, số liệu và quan hệ với khách hàng; tài sản hữu hình như nhà xưởng, máy móc, thiết bị; các tài sản tài chính và các quyền lợi, lợi ích kinh tế từ các tài sản này trong quá trình khai thác, sử dụng và chuyển nhượng tài sản; c) Một số rủi ro chính trong kinh doanh gồm rủi ro chiến lược hoặc rủi ro thị trường do thực hiện các chiến lược kinh doanh như thâm nhập, mở rộng hoặc duy trì thị trường; rủi ro về cơ sở hạ tầng hay rủi ro hàng tồn kho; rủi ro tài chính như rủi ro tín dụng và nợ xấu, rủi ro tỷ giá hối đoái; rủi ro giao dịch như các yếu tố giá và điều khoản thanh toán trong giao dịch thương mại; rủi ro sản phẩm từ thiết kế phát triển, sản xuất đến quản lý chất lượng và dịch vụ sau bán hàng; rủi ro kinh doanh từ các khoản đầu tư vốn và số lượng khách hàng và các rủi ro bất khả kháng.</w:t>
      </w:r>
    </w:p>
    <w:p>
      <w:pPr>
        <w:spacing w:after="120" w:line="360"/>
      </w:pPr>
      <w:r>
        <w:rPr>
          <w:rFonts w:ascii="Times New Roman" w:cs="Times New Roman" w:eastAsia="Times New Roman" w:hAnsi="Times New Roman"/>
          <w:sz w:val="26"/>
          <w:szCs w:val="26"/>
        </w:rPr>
        <w:t xml:space="preserve">Phân tích rủi ro kinh doanh của người nộp thuế trong toàn bộ chuỗi giá trị của tập đoàn nhằm xác định các rủi ro trọng yếu đối với toàn bộ chuỗi giá trị ngành, khả năng kiểm soát rủi ro như việc đưa ra quyết định quản lý rủi ro và xử lý khi thực tế xảy ra các rủi ro này, bao gồm: xác định các rủi ro chính về kinh tế; đánh giá mức độ phân bổ, dàn xếp rủi ro tại các hợp đồng pháp lý hoặc văn bản, thỏa thuận của người nộp thuế; phân tích chức năng kiểm soát và giảm thiểu rủi ro trên hợp đồng pháp lý hoặc văn bản, thỏa thuận; kiểm tra, rà soát tình hình thực hiện và gánh chịu, phân bổ rủi ro của người nộp thuế trên thực tế.</w:t>
      </w:r>
    </w:p>
    <w:p>
      <w:pPr>
        <w:spacing w:after="120" w:line="360"/>
      </w:pPr>
      <w:r>
        <w:rPr>
          <w:rFonts w:ascii="Times New Roman" w:cs="Times New Roman" w:eastAsia="Times New Roman" w:hAnsi="Times New Roman"/>
          <w:sz w:val="26"/>
          <w:szCs w:val="26"/>
        </w:rPr>
        <w:t xml:space="preserve">Trường hợp có khác biệt về phân bổ rủi ro tại các hợp đồng pháp lý hoặc văn bản, thỏa thuận so với thực tiễn thực hiện, căn cứ kết quả phân tích rủi ro, Cơ quan thuế thực hiện phân bổ lại rủi ro và điều chỉnh mức giá, tỷ suất lợi nhuận, tỷ lệ phân bổ lợi nhuận của người nộp thuế.</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Điều khoản hợp đồng khi thực hiện giao dịch bao gồm một số các điều khoản về khối lượng, điều kiện giao dịch hoặc phân phối sản phẩm; thời hạn, điều kiện và phương thức thanh toán; điều kiện bảo hành, thay thế, nâng cấp, chỉnh sửa hoặc hiệu chỉnh sản phẩm; điều kiện về đặc quyền kinh doanh, phân phối sản phẩm; một số điều kiện có ảnh hưởng kinh tế khác như dịch vụ hỗ trợ, tư vấn kiểm tra chất lượng, hướng dẫn sử dụng, hỗ trợ quảng cáo, khuyến mại.</w:t>
      </w:r>
    </w:p>
    <w:p>
      <w:pPr>
        <w:spacing w:after="120" w:line="360"/>
      </w:pPr>
      <w:r>
        <w:rPr>
          <w:rFonts w:ascii="Times New Roman" w:cs="Times New Roman" w:eastAsia="Times New Roman" w:hAnsi="Times New Roman"/>
          <w:sz w:val="26"/>
          <w:szCs w:val="26"/>
        </w:rPr>
        <w:t xml:space="preserve">a) Trường hợp các điều khoản hợp đồng pháp lý hoặc văn bản, thỏa thuận không phản ánh đầy đủ thực tiễn thực hiện giữa các bên liên kết, việc phân tích, so sánh được thực hiện trên cơ sở rà soát các sự kiện thực tế hoặc các dữ liệu tài chính để xác định đặc điểm, bản chất kinh tế và các rủi ro kinh doanh thực tế của các bên; b) Trường hợp các bên liên kết không ký kết hợp đồng pháp lý hoặc văn bản, thỏa thuận, không ghi nhận doanh thu hoặc chi phí như hỗ trợ kỹ thuật, hợp lực tập đoàn, chia sẻ bí quyết kinh doanh hoặc sử dụng nhân sự biệt phái, kiêm nhiệm thì việc phân tích được tiến hành để xác định bản chất giao dịch, giá trị giao dịch, thu nhập tạo ra từ các giao dịch này và đóng góp của từng bên liên kết.</w:t>
      </w:r>
    </w:p>
    <w:p>
      <w:pPr>
        <w:spacing w:after="120" w:line="360"/>
      </w:pPr>
      <w:r>
        <w:rPr>
          <w:rFonts w:ascii="Times New Roman" w:cs="Times New Roman" w:eastAsia="Times New Roman" w:hAnsi="Times New Roman"/>
          <w:sz w:val="26"/>
          <w:szCs w:val="26"/>
        </w:rPr>
        <w:t xml:space="preserve">Trên cơ sở đó, so sánh với các quyết định kinh doanh có thể được các bên độc lập chấp nhận trong điều kiện tương đồng để xác định lại giao dịch liên kết của người nộp thuế.</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Điều kiện kinh tế của giao dịch và điều kiện của thị trường tại thời điểm diễn ra giao dịch có ảnh hưởng đến mức giá, tỷ suất lợi nhuận, tỷ lệ phân bổ lợi nhuận của các bên.</w:t>
      </w:r>
    </w:p>
    <w:p>
      <w:pPr>
        <w:spacing w:after="120" w:line="360"/>
      </w:pPr>
      <w:r>
        <w:rPr>
          <w:rFonts w:ascii="Times New Roman" w:cs="Times New Roman" w:eastAsia="Times New Roman" w:hAnsi="Times New Roman"/>
          <w:sz w:val="26"/>
          <w:szCs w:val="26"/>
        </w:rPr>
        <w:t xml:space="preserve">a) Một số điều kiện kinh tế khi diễn ra giao dịch như quy mô, vị trí địa lý của thị trường sản xuất và tiêu thụ sản phẩm, cấp độ thị trường như bán buôn, bán lẻ thông thường, phân phối độc quyền; mức độ cạnh tranh của sản phẩm trên thị trường và vị trí cạnh tranh tương ứng của người bán và người mua; khả năng sẵn có của hàng hóa thay thế; mức độ cung cầu trên thị trường nói chung và từng khu vực cụ thể; sức mua người tiêu dùng; các yếu tố kinh tế tác động đến chi phí sản xuất kinh doanh phát sinh tại nơi diễn ra giao dịch như chính sách ưu đãi thuế; chính sách điều tiết thị trường của các chính phủ; chi phí sản xuất, chi phí đất đai, lao động, vốn; chu kỳ kinh doanh và các yếu tố có tác động tích cực đến mức giá, tỷ suất lợi nhuận, tỷ lệ phân bổ lợi nhuận của người nộp thuế như các đặc điểm về vị trí, lợi thế và việc tiết kiệm được chi phí dựa trên các yếu tố địa lý, thị trường của địa phương, lực lượng lao động và việc tập trung các chức năng hợp lực và chuyên môn hóa căn cứ đóng góp của tất cả các bên liên kết tham gia tạo lập giá trị; b) Trường hợp người nộp thuế và các đối tượng so sánh không cư trú cùng quốc gia, vùng lãnh thổ hoặc không cung cấp hàng hóa, dịch vụ tại cùng thị trường địa lý, việc phân tích điều kiện kinh tế bao gồm phân tích mức độ tương đồng của các thị trường nơi người nộp thuế và các đối tượng so sánh cư trú đối với các lợi thế so sánh, đặc lợi về vị trí tác động đến các yếu tố cạnh tranh như chi phí lao động, chi phí nguyên vật liệu, vận chuyển, tiền thuê đất, chi phí đào tạo, trợ cấp, ưu đãi về chính sách tài chính, thuế, chi phí cơ sở hạ tầng, mức độ tăng trưởng của thị trường và các đặc điểm lợi thế của thị trường như số lượng dân số, khách hàng với khả năng chi tiêu tăng trưởng tốt và các đặc điểm lợi thế so sánh khác.</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Phân tích, so sánh, loại trừ các yếu tố khác biệt trọng yếu là phân tích loại trừ khác biệt về mặt định tính và định lượng đối với thông tin hoặc số liệu tài chính có ảnh hưởng trọng yếu đến yếu tố làm căn cứ xác định giá giao dịch liên kết theo từng phương pháp xác định giá giao dịch liên kết quy định tại Điều 13, Điều 14, Điều 15 Nghị định này.</w:t>
      </w:r>
    </w:p>
    <w:p>
      <w:pPr>
        <w:spacing w:after="120" w:line="360"/>
      </w:pPr>
      <w:r>
        <w:rPr>
          <w:rFonts w:ascii="Times New Roman" w:cs="Times New Roman" w:eastAsia="Times New Roman" w:hAnsi="Times New Roman"/>
          <w:sz w:val="26"/>
          <w:szCs w:val="26"/>
        </w:rPr>
        <w:t xml:space="preserve">Khác biệt định lượng là khác biệt xác định bằng số tuyệt đối về chu kỳ kinh doanh, số năm thành lập, hoạt động của doanh nghiệp hoặc số tương đối như khác biệt về chỉ tiêu tài chính theo đặc thù ngành nghề đầu tư hoặc chức năng hoạt động, khác biệt về vốn lưu động; khác biệt định tính là các thông tin được xác định căn cứ vào từng phương pháp xác định giá giao dịch liên kết quy định tại Điều 13, Điều 14, Điều 15 Nghị định này.</w:t>
      </w:r>
    </w:p>
    <w:p>
      <w:pPr>
        <w:spacing w:after="120" w:line="360"/>
      </w:pPr>
      <w:r>
        <w:rPr>
          <w:rFonts w:ascii="Times New Roman" w:cs="Times New Roman" w:eastAsia="Times New Roman" w:hAnsi="Times New Roman"/>
          <w:sz w:val="26"/>
          <w:szCs w:val="26"/>
        </w:rPr>
        <w:t xml:space="preserve">a) Các yếu tố khác biệt được xác định là trọng yếu bao gồm: Khác biệt về đặc tính sản phẩm, điều kiện hợp đồng, chức năng, tài sản và rủi ro và ngành nghề kinh doanh, điều kiện kinh tế của người nộp thuế và các đối tượng so sánh độc lập; các khác biệt về chính sách, môi trường đầu tư, tác động của chi phí đầu vào sản xuất kinh doanh tại các địa bàn tại địa phương, trong nước và nước ngoài; b) Các khác biệt định lượng và định tính phải được rà soát, điều chỉnh tương ứng với các yếu tố so sánh có ảnh hưởng trọng yếu đến phương pháp xác định giá giao dịch liên kết quy định tại Điều 13, Điều 14, Điều 15 Nghị định này.</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Kết quả phân tích, so sánh là căn cứ lựa chọn đối tượng so sánh độc lập phù hợp với từng phương pháp xác định giá giao dịch liên kết quy định tại Điều 13, Điều 14, Điều 15 Nghị định này.</w:t>
      </w:r>
    </w:p>
    <w:p>
      <w:pPr>
        <w:spacing w:after="120" w:line="360"/>
      </w:pPr>
      <w:r>
        <w:rPr>
          <w:rFonts w:ascii="Times New Roman" w:cs="Times New Roman" w:eastAsia="Times New Roman" w:hAnsi="Times New Roman"/>
          <w:sz w:val="26"/>
          <w:szCs w:val="26"/>
        </w:rPr>
        <w:t xml:space="preserve">Trường hợp người nộp thuế không thực hiện điều chỉnh mức giá, tỷ suất lợi nhuận, tỷ lệ phân bổ lợi nhuận theo các đối tượng so sánh độc lập với lý do các khác biệt định tính và định lượng gây ảnh hưởng trọng yếu thì người nộp thuế phải tìm kiếm, lựa chọn lại các đối tượng so sánh độc lập để xác định khoảng giá trị giao dịch độc lập chuẩn đảm bảo mức độ tin cậy, tương đồng nhất và thực hiện điều chỉnh giá giao dịch liên kết theo quy định tại Nghị định này.</w:t>
      </w:r>
    </w:p>
    <w:p>
      <w:pPr>
        <w:spacing w:after="120" w:line="360"/>
      </w:pPr>
      <w:r>
        <w:rPr>
          <w:rFonts w:ascii="Times New Roman" w:cs="Times New Roman" w:eastAsia="Times New Roman" w:hAnsi="Times New Roman"/>
          <w:sz w:val="26"/>
          <w:szCs w:val="26"/>
        </w:rPr>
        <w:t xml:space="preserve">Điều 11.</w:t>
      </w:r>
    </w:p>
    <w:p>
      <w:pPr>
        <w:spacing w:after="120" w:line="360"/>
      </w:pPr>
      <w:r>
        <w:rPr>
          <w:rFonts w:ascii="Times New Roman" w:cs="Times New Roman" w:eastAsia="Times New Roman" w:hAnsi="Times New Roman"/>
          <w:sz w:val="26"/>
          <w:szCs w:val="26"/>
        </w:rPr>
        <w:t xml:space="preserve">Trình tự phân tích, so sánh 1.</w:t>
      </w:r>
    </w:p>
    <w:p>
      <w:pPr>
        <w:spacing w:after="120" w:line="360"/>
      </w:pPr>
      <w:r>
        <w:rPr>
          <w:rFonts w:ascii="Times New Roman" w:cs="Times New Roman" w:eastAsia="Times New Roman" w:hAnsi="Times New Roman"/>
          <w:sz w:val="26"/>
          <w:szCs w:val="26"/>
        </w:rPr>
        <w:t xml:space="preserve">Xác định bản chất của giao dịch liên kết trước khi tiến hành phân tích tính tương đồng với các đối tượng so sánh độc lập.</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Phân tích, so sánh, tìm kiếm, lựa chọn các đối tượng so sánh độc lập tương đồng trên cơ sở xác định thời gian so sánh, đặc tính sản phẩm, điều kiện hợp đồng; phân tích ngành, thị trường, điều kiện kinh tế khi phát sinh giao dịch; phân tích giao dịch liên kết và người nộp thuế thực hiện giao dịch liên kết; nguồn cơ sở dữ liệu; phương pháp xác định giá giao dịch liên kết và điều chỉnh các khác biệt trọng yếu, cụ thể: a) Xác định phạm vi, nội dung và yếu tố so sánh bao gồm thời gian so sánh; thông tin phân tích về người nộp thuế đối với các yếu tố so sánh về chức năng, tài sản, rủi ro; đặc tính sản phẩm; điều kiện hợp đồng; điều kiện kinh tế khi phát sinh giao dịch, phân tích ngành, thị trường, hoàn cảnh hoạt động kinh doanh, giao dịch hàng hóa, dịch vụ và tài sản của các bên để lựa chọn bên liên kết cần thực hiện xác định giá giao dịch liên kết theo quy định tại Nghị định này; b) Đánh giá, tìm kiếm đối tượng so sánh gồm ưu tiên rà soát các đối tượng so sánh độc lập nội bộ trên cơ sở xác minh độ tin cậy và tính độc lập của các đối tượng này đảm bảo không phải là các giao dịch dàn xếp không theo nguyên tắc giao dịch độc lập; xây dựng các tiêu chí tìm kiếm và xác định các nguồn cơ sở dữ liệu tin cậy có thể sử dụng theo quy định tại Điều 17 Nghị định này để tiến hành tìm kiếm các đối tượng so sánh độc lập tương đồng.</w:t>
      </w:r>
    </w:p>
    <w:p>
      <w:pPr>
        <w:spacing w:after="120" w:line="360"/>
      </w:pPr>
      <w:r>
        <w:rPr>
          <w:rFonts w:ascii="Times New Roman" w:cs="Times New Roman" w:eastAsia="Times New Roman" w:hAnsi="Times New Roman"/>
          <w:sz w:val="26"/>
          <w:szCs w:val="26"/>
        </w:rPr>
        <w:t xml:space="preserve">Trên cơ sở các thông tin đã phân tích và rà soát tính sẵn có đối với dữ liệu của đối tượng so sánh độc lập, lựa chọn phương pháp xác định giá giao dịch liên kết phù hợp với bản chất hoạt động kinh doanh, thương mại, tài chính, rủi ro của bên liên kết cần thực hiện xác định giá; c) Phân tích mức độ tương đồng và tin cậy của các đối tượng so sánh độc lập được lựa chọn trên cơ sở rà soát, sàng lọc các tiêu chí định tính và định lượng; phân tích thông tin kinh tế, ngành và số liệu tài chính của các đối tượng được chọn để xác minh mức độ tương đồng; xác định khác biệt trọng yếu và điều chỉnh khác biệt trọng yếu.</w:t>
      </w:r>
    </w:p>
    <w:p>
      <w:pPr>
        <w:spacing w:after="120" w:line="360"/>
      </w:pPr>
      <w:r>
        <w:rPr>
          <w:rFonts w:ascii="Times New Roman" w:cs="Times New Roman" w:eastAsia="Times New Roman" w:hAnsi="Times New Roman"/>
          <w:sz w:val="26"/>
          <w:szCs w:val="26"/>
        </w:rPr>
        <w:t xml:space="preserve">Trên cơ sở kết quả lựa chọn các đối tượng so sánh độc lập tương đồng, sử dụng dữ liệu, số liệu tài chính của các đối tượng so sánh độc lập được lựa chọn để xác định căn cứ thực hiện điều chỉnh mức giá, tỷ suất lợi nhuận, tỷ lệ phân bổ lợi nhuận của người nộp thuế theo quy định tại Điều 8 Nghị định này.</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Xác định mức giá, tỷ suất lợi nhuận hoặc tỷ lệ phân bổ lợi nhuận căn cứ kết quả phân tích các đối tượng so sánh độc lập để làm cơ sở so sánh, áp dụng xác định nghĩa vụ thuế thu nhập doanh nghiệp phải nộp của người nộp thuế, không làm giảm nghĩa vụ thuế phải nộp ngân sách nhà nước.</w:t>
      </w:r>
    </w:p>
    <w:p>
      <w:pPr>
        <w:spacing w:after="120" w:line="360"/>
      </w:pPr>
      <w:r>
        <w:rPr>
          <w:rFonts w:ascii="Times New Roman" w:cs="Times New Roman" w:eastAsia="Times New Roman" w:hAnsi="Times New Roman"/>
          <w:sz w:val="26"/>
          <w:szCs w:val="26"/>
        </w:rPr>
        <w:t xml:space="preserve">Phương pháp tính toán phải được áp dụng thống nhất trong chu kỳ, giai đoạn sản xuất kinh doanh phù hợp chức năng, mô hình kinh doanh theo quy định tại Điều 12, Điều 13, Điều 14, Điều 15 Nghị định này.</w:t>
      </w:r>
    </w:p>
    <w:p>
      <w:pPr>
        <w:spacing w:after="120" w:line="360"/>
      </w:pPr>
      <w:r>
        <w:rPr>
          <w:rFonts w:ascii="Times New Roman" w:cs="Times New Roman" w:eastAsia="Times New Roman" w:hAnsi="Times New Roman"/>
          <w:sz w:val="26"/>
          <w:szCs w:val="26"/>
        </w:rPr>
        <w:t xml:space="preserve">Điều 12.</w:t>
      </w:r>
    </w:p>
    <w:p>
      <w:pPr>
        <w:spacing w:after="120" w:line="360"/>
      </w:pPr>
      <w:r>
        <w:rPr>
          <w:rFonts w:ascii="Times New Roman" w:cs="Times New Roman" w:eastAsia="Times New Roman" w:hAnsi="Times New Roman"/>
          <w:sz w:val="26"/>
          <w:szCs w:val="26"/>
        </w:rPr>
        <w:t xml:space="preserve">Lựa chọn phương pháp xác định giá giao dịch liên kết Phương pháp so sánh xác định giá của giao dịch liên kết (viết tắt là phương pháp xác định giá giao dịch liên kết) được áp dụng phù hợp nguyên tắc giao dịch độc lập, bản chất giao dịch và chức năng của người nộp thuế trên cơ sở tính toán, áp dụng thống nhất trong toàn bộ chu kỳ, giai đoạn sản xuất kinh doanh; căn cứ dữ liệu tài chính của các đối tượng so sánh độc lập được lựa chọn theo các nguyên tắc phân tích, so sánh quy định tại Điều 6, Điều 7, Điều 8, Điều 9, Điều 10 Nghị định này.</w:t>
      </w:r>
    </w:p>
    <w:p>
      <w:pPr>
        <w:spacing w:after="120" w:line="360"/>
      </w:pPr>
      <w:r>
        <w:rPr>
          <w:rFonts w:ascii="Times New Roman" w:cs="Times New Roman" w:eastAsia="Times New Roman" w:hAnsi="Times New Roman"/>
          <w:sz w:val="26"/>
          <w:szCs w:val="26"/>
        </w:rPr>
        <w:t xml:space="preserve">Phương pháp xác định giá giao dịch liên kết được lựa chọn trong các phương pháp quy định tại Điều 13, Điều 14, Điều 15 Nghị định này, căn cứ vào đặc điểm của giao dịch liên kết và căn cứ vào thông tin dữ liệu sẵn có.</w:t>
      </w:r>
    </w:p>
    <w:p>
      <w:pPr>
        <w:spacing w:after="120" w:line="360"/>
      </w:pPr>
      <w:r>
        <w:rPr>
          <w:rFonts w:ascii="Times New Roman" w:cs="Times New Roman" w:eastAsia="Times New Roman" w:hAnsi="Times New Roman"/>
          <w:sz w:val="26"/>
          <w:szCs w:val="26"/>
        </w:rPr>
        <w:t xml:space="preserve">Điều 13.</w:t>
      </w:r>
    </w:p>
    <w:p>
      <w:pPr>
        <w:spacing w:after="120" w:line="360"/>
      </w:pPr>
      <w:r>
        <w:rPr>
          <w:rFonts w:ascii="Times New Roman" w:cs="Times New Roman" w:eastAsia="Times New Roman" w:hAnsi="Times New Roman"/>
          <w:sz w:val="26"/>
          <w:szCs w:val="26"/>
        </w:rPr>
        <w:t xml:space="preserve">Phương pháp so sánh giá giao dịch liên kết với giá giao dịch độc lập 1.</w:t>
      </w:r>
    </w:p>
    <w:p>
      <w:pPr>
        <w:spacing w:after="120" w:line="360"/>
      </w:pPr>
      <w:r>
        <w:rPr>
          <w:rFonts w:ascii="Times New Roman" w:cs="Times New Roman" w:eastAsia="Times New Roman" w:hAnsi="Times New Roman"/>
          <w:sz w:val="26"/>
          <w:szCs w:val="26"/>
        </w:rPr>
        <w:t xml:space="preserve">Các trường hợp áp dụng phương pháp so sánh giá giao dịch liên kết với giá giao dịch độc lập (sau đây viết tắt là phương pháp so sánh giá giao dịch độc lập) Người nộp thuế thực hiện giao dịch liên kết đối với từng chủng loại hàng hóa, tài sản hữu hình, loại hình dịch vụ có điều kiện giao dịch, lưu thông phổ biến trên thị trường hoặc có giá được công bố trên các sàn giao dịch hàng hóa, dịch vụ trong nước và quốc tế; giao dịch thanh toán phí bản quyền khi khai thác tài sản vô hình; thanh toán lãi vay trong hoạt động vay và cho vay; hoặc người nộp thuế thực hiện cả giao dịch độc lập và giao dịch liên kết đối với sản phẩm tương đồng về đặc tính sản phẩm và điều kiện hợp đồng.</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Nguyên tắc áp dụng: a) Phương pháp so sánh giá giao dịch độc lập được thực hiện trên nguyên tắc không có khác biệt về đặc tính sản phẩm và điều kiện hợp đồng khi so sánh giá giao dịch độc lập và giá giao dịch liên kết có ảnh hưởng trọng yếu đến giá sản phẩm.</w:t>
      </w:r>
    </w:p>
    <w:p>
      <w:pPr>
        <w:spacing w:after="120" w:line="360"/>
      </w:pPr>
      <w:r>
        <w:rPr>
          <w:rFonts w:ascii="Times New Roman" w:cs="Times New Roman" w:eastAsia="Times New Roman" w:hAnsi="Times New Roman"/>
          <w:sz w:val="26"/>
          <w:szCs w:val="26"/>
        </w:rPr>
        <w:t xml:space="preserve">Trường hợp có các khác biệt ảnh hưởng trọng yếu đến giá sản phẩm, phải loại trừ các khác biệt trọng yếu này; b) Các yếu tố đặc tính sản phẩm và điều kiện hợp đồng có tác động trọng yếu đến giá sản phẩm, bao gồm: Đặc tính, chất lượng, thương hiệu, nhãn hiệu thương mại của sản phẩm và quy mô, khối lượng giao dịch; các điều kiện hợp đồng cung cấp, chuyển giao sản phẩm: Khối lượng, thời hạn chuyển giao, thời hạn thanh toán và các điều kiện khác của hợp đồng; quyền phân phối, tiêu thụ hàng hóa, dịch vụ, tài sản có ảnh hưởng đến giá trị kinh tế và thị trường nơi diễn ra giao dịch và các yếu tố khác tác động đến giá sản phẩm như điều kiện kinh tế và chức năng hoạt động của người nộp thuế.</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xác định: a) Giá sản phẩm trong giao dịch liên kết được điều chỉnh theo giá sản phẩm trong giao dịch độc lập hoặc giá trị thuộc khoảng giá trị giao dịch độc lập chuẩn của các đối tượng so sánh độc lập theo quy định tại Nghị định này; b) Trường hợp giá sản phẩm được công bố trên các sàn giao dịch hàng hóa, dịch vụ trong nước và quốc tế, giá sản phẩm trong giao dịch liên kết được xác định theo giá sản phẩm được công bố có thời điểm và các điều kiện giao dịch tương đồng; c) Người nộp thuế mua máy móc, thiết bị từ bên liên kết ở nước ngoài phải có tài liệu, chứng từ chứng minh giá mua máy móc, thiết bị tuân theo nguyên tắc giao dịch độc lập tại thời điểm mua: Đối với máy móc, thiết bị mới, giá so sánh là giá hóa đơn bên liên kết mua máy móc, thiết bị đó từ bên độc lập; đối với máy móc, thiết bị đã qua sử dụng, phải có hóa đơn, chứng từ gốc tại thời điểm mua, khi đó giá trị tài sản được xác định lại theo quy định hiện hành của pháp luật về hướng dẫn quản lý, sử dụng và trích khấu hao tài sản cố định.</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Kết quả xác định giá giao dịch liên kết là giá tính thuế để kê khai, xác định số thuế thu nhập doanh nghiệp phải nộp nhưng không làm giảm nghĩa vụ thuế phải nộp ngân sách nhà nước của người nộp thuế.</w:t>
      </w:r>
    </w:p>
    <w:p>
      <w:pPr>
        <w:spacing w:after="120" w:line="360"/>
      </w:pPr>
      <w:r>
        <w:rPr>
          <w:rFonts w:ascii="Times New Roman" w:cs="Times New Roman" w:eastAsia="Times New Roman" w:hAnsi="Times New Roman"/>
          <w:sz w:val="26"/>
          <w:szCs w:val="26"/>
        </w:rPr>
        <w:t xml:space="preserve">Điều 14.</w:t>
      </w:r>
    </w:p>
    <w:p>
      <w:pPr>
        <w:spacing w:after="120" w:line="360"/>
      </w:pPr>
      <w:r>
        <w:rPr>
          <w:rFonts w:ascii="Times New Roman" w:cs="Times New Roman" w:eastAsia="Times New Roman" w:hAnsi="Times New Roman"/>
          <w:sz w:val="26"/>
          <w:szCs w:val="26"/>
        </w:rPr>
        <w:t xml:space="preserve">Phương pháp so sánh tỷ suất lợi nhuận của người nộp thuế với tỷ suất lợi nhuận của các đối tượng so sánh độc lập 1.</w:t>
      </w:r>
    </w:p>
    <w:p>
      <w:pPr>
        <w:spacing w:after="120" w:line="360"/>
      </w:pPr>
      <w:r>
        <w:rPr>
          <w:rFonts w:ascii="Times New Roman" w:cs="Times New Roman" w:eastAsia="Times New Roman" w:hAnsi="Times New Roman"/>
          <w:sz w:val="26"/>
          <w:szCs w:val="26"/>
        </w:rPr>
        <w:t xml:space="preserve">Các trường hợp áp dụng: Người nộp thuế không có cơ sở dữ liệu và thông tin để áp dụng phương pháp so sánh giá giao dịch độc lập quy định tại Điều 13 Nghị định này hoặc người nộp thuế không thể so sánh giao dịch theo sản phẩm trên cơ sở từng giao dịch đối với từng sản phẩm tương đồng, việc gộp chung các giao dịch được tiến hành nhằm đảm bảo phù hợp bản chất, thực tiễn kinh doanh và lựa chọn được tỷ suất lợi nhuận của các đối tượng so sánh độc lập phù hợp hoặc người nộp thuế không thực hiện chức năng tự chủ đối với toàn bộ chuỗi hoạt động sản xuất, kinh doanh hoặc không tham gia thực hiện các giao dịch liên kết theo quy định tại Điều 15 Nghị định này, cụ thể: a) Phương pháp so sánh tỷ suất lợi nhuận gộp trên doanh thu (phương pháp giá bán lại) áp dụng trong trường hợp người nộp thuế thực hiện bán hàng, phân phối lại các sản phẩm mua từ bên liên kết cho các khách hàng độc lập và không tạo ra tài sản vô hình gắn liền với sản phẩm bán ra; không tham gia vào quá trình phát triển, gia tăng, duy trì, bảo vệ tài sản vô hình do bên liên kết sở hữu gắn với sản phẩm bán ra hoặc không thực hiện gia công, chế biến, lắp ráp thay đổi tính chất, đặc điểm sản phẩm, gắn nhãn hiệu thương mại để làm gia tăng giá trị sản phẩm.</w:t>
      </w:r>
    </w:p>
    <w:p>
      <w:pPr>
        <w:spacing w:after="120" w:line="360"/>
      </w:pPr>
      <w:r>
        <w:rPr>
          <w:rFonts w:ascii="Times New Roman" w:cs="Times New Roman" w:eastAsia="Times New Roman" w:hAnsi="Times New Roman"/>
          <w:sz w:val="26"/>
          <w:szCs w:val="26"/>
        </w:rPr>
        <w:t xml:space="preserve">Phương pháp giá bán lại không áp dụng cho người nộp thuế là nhà phân phối sở hữu các tài sản vô hình có giá trị của tập đoàn đối với thương hiệu, nhãn hiệu hàng hóa và các tài sản vô hình liên quan đến marketing khác như danh sách khách hàng, kênh phân phối, biểu tượng, hình ảnh và các yếu tố nhận diện thương hiệu trong hoạt động nghiên cứu thị trường, tiếp thị, xúc tiến thương mại hoặc phát sinh chi phí tạo lập, thiết kế các kênh phân phối, nhận diện thương hiệu hoặc các chi phí sau bán hàng; b) Phương pháp so sánh tỷ suất lợi nhuận gộp trên giá vốn (phương pháp giá vốn cộng lãi) áp dụng trong trường hợp người nộp thuế không sở hữu tài sản vô hình và gánh chịu ít rủi ro kinh doanh, thực hiện chức năng sản xuất theo hợp đồng, đơn đặt hàng hoặc gia công, lắp ráp, chế tạo, chế biến sản phẩm, cài đặt thiết bị; thu mua, cung ứng sản phẩm; cung cấp dịch vụ hoặc thực hiện nghiên cứu phát triển theo hợp đồng cho bên liên kết.</w:t>
      </w:r>
    </w:p>
    <w:p>
      <w:pPr>
        <w:spacing w:after="120" w:line="360"/>
      </w:pPr>
      <w:r>
        <w:rPr>
          <w:rFonts w:ascii="Times New Roman" w:cs="Times New Roman" w:eastAsia="Times New Roman" w:hAnsi="Times New Roman"/>
          <w:sz w:val="26"/>
          <w:szCs w:val="26"/>
        </w:rPr>
        <w:t xml:space="preserve">Phương pháp giá vốn cộng lãi không áp dụng cho người nộp thuế là doanh nghiệp sản xuất tự chủ, thực hiện các chức năng nghiên cứu phát triển sản phẩm đến xây dựng thương hiệu, nhãn hiệu hàng hóa, chiến lược thị trường và bảo hành sản phẩm, chăm sóc khách hàng; c) Phương pháp so sánh tỷ suất lợi nhuận thuần: Phương pháp so sánh tỷ suất lợi nhuận thuần áp dụng trong trường hợp người nộp thuế không có thông tin để áp dụng phương pháp so sánh giá giao dịch độc lập; không có dữ liệu và thông tin về phương pháp hạch toán kế toán của các đối tượng so sánh độc lập hoặc không tìm được các đối tượng so sánh có chức năng và sản phẩm tương đồng nên không đủ cơ sở áp dụng các phương pháp so sánh tỷ suất lợi nhuận gộp trên doanh thu hoặc trên giá vốn; người nộp thuế thực hiện các chức năng phân phối hoặc sản xuất không sở hữu tài sản vô hình hoặc không tham gia phát triển, gia tăng, duy trì, bảo vệ và khai thác tài sản vô hình hoặc không thuộc trường hợp áp dụng phương pháp phân bổ lợi nhuận giữa các bên liên kết theo quy định tại khoản 1 Điều 15 Nghị định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Nguyên tắc áp dụng: a) Phương pháp so sánh tỷ suất lợi nhuận được áp dụng trên nguyên tắc không có khác biệt về chức năng hoạt động, tài sản, rủi ro; điều kiện kinh tế và phương pháp hạch toán kế toán khi so sánh giữa người nộp thuế và đối tượng so sánh độc lập có ảnh hưởng trọng yếu đến tỷ suất lợi nhuận.</w:t>
      </w:r>
    </w:p>
    <w:p>
      <w:pPr>
        <w:spacing w:after="120" w:line="360"/>
      </w:pPr>
      <w:r>
        <w:rPr>
          <w:rFonts w:ascii="Times New Roman" w:cs="Times New Roman" w:eastAsia="Times New Roman" w:hAnsi="Times New Roman"/>
          <w:sz w:val="26"/>
          <w:szCs w:val="26"/>
        </w:rPr>
        <w:t xml:space="preserve">Trường hợp có các khác biệt ảnh hưởng trọng yếu đến tỷ suất lợi nhuận, khi đó phải loại trừ các khác biệt trọng yếu này; Các yếu tố có tác động trọng yếu đến tỷ suất lợi nhuận, bao gồm: Các yếu tố về tài sản, vốn, chi phí; quyền kiểm soát, quyền quyết định trên thực tế phục vụ cho việc thực hiện chức năng chính của người nộp thuế; tính chất ngành nghề hoạt động kinh doanh và thị trường sản xuất, tiêu thụ sản phẩm; phương pháp hạch toán kế toán và cơ cấu chi phí của sản phẩm; điều kiện kinh tế diễn ra giao dịch; các quan hệ thương mại hoặc tài chính của tập đoàn đa quốc gia; hỗ trợ kỹ thuật; chia sẻ bí quyết kinh doanh; sử dụng nhân sự biệt phái hoặc kiêm nhiệm và các điều kiện kinh tế của ngành, lĩnh vực kinh doanh của người nộp thuế, đặc tính sản phẩm và điều kiện hợp đồng.</w:t>
      </w:r>
    </w:p>
    <w:p>
      <w:pPr>
        <w:spacing w:after="120" w:line="360"/>
      </w:pPr>
      <w:r>
        <w:rPr>
          <w:rFonts w:ascii="Times New Roman" w:cs="Times New Roman" w:eastAsia="Times New Roman" w:hAnsi="Times New Roman"/>
          <w:sz w:val="26"/>
          <w:szCs w:val="26"/>
        </w:rPr>
        <w:t xml:space="preserve">b) Trường hợp áp dụng phương pháp giá bán lại: Khác biệt có thể gây ảnh hưởng trọng yếu đến tỷ suất lợi nhuận gộp trên giá bán ra (doanh thu thuần) như các chi phí phản ánh chức năng của doanh nghiệp là đại lý bán hàng, nhà phân phối độc quyền hoặc nhà phân phối thực hiện marketing; mức độ tăng trưởng phát triển của thị trường tiêu thụ sản phẩm; chức năng của người nộp thuế trong chuỗi cung ứng như bán lẻ, bán buôn và phương pháp hạch toán kế toán của các bên; c) Trường hợp áp dụng phương pháp giá vốn cộng lãi: Khác biệt có thể gây ảnh hưởng trọng yếu đến tỷ suất lợi nhuận gộp trên giá vốn gồm các chi phí phản ánh chức năng hoạt động của doanh nghiệp như sản xuất theo hợp đồng chỉ định từ công ty mẹ hoặc cung cấp dịch vụ nội bộ tập đoàn; các nghĩa vụ thực hiện hợp đồng như thời hạn chuyển giao sản phẩm, chi phí giám sát chất lượng, lưu kho, điều kiện thanh toán và phương pháp hạch toán kế toán đối với các yếu tố cấu thành trong giá vốn của người nộp thuế và các đối tượng so sánh độc lập; d) Trường hợp áp dụng phương pháp so sánh tỷ suất lợi nhuận thuần: Khác biệt có thể gây ảnh hưởng trọng yếu đến tỷ suất lợi nhuận thuần như khác biệt về chức năng hoạt động, tài sản, rủi ro; điều kiện kinh tế; điều kiện hợp đồng và đặc tính sản phẩm theo quy định tại Điều 10 Nghị định này.</w:t>
      </w:r>
    </w:p>
    <w:p>
      <w:pPr>
        <w:spacing w:after="120" w:line="360"/>
      </w:pPr>
      <w:r>
        <w:rPr>
          <w:rFonts w:ascii="Times New Roman" w:cs="Times New Roman" w:eastAsia="Times New Roman" w:hAnsi="Times New Roman"/>
          <w:sz w:val="26"/>
          <w:szCs w:val="26"/>
        </w:rPr>
        <w:t xml:space="preserve">Người nộp thuế thực hiện kinh doanh với chức năng sản xuất phân phối đơn giản, không có chức năng quyết định chiến lược và phát sinh giao dịch tạo giá trị gia tăng thấp, không chịu rủi ro hàng tồn kho, rủi ro thị trường và không phát sinh doanh thu, chi phí từ hoạt động khai thác tài sản vô hình thì không gánh chịu lỗ phát sinh trong hoạt động sản xuất kinh doanh từ các rủi ro này.</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xác định: Phương pháp so sánh tỷ suất lợi nhuận sử dụng tỷ suất lợi nhuận gộp hoặc tỷ suất lợi nhuận thuần của các đối tượng so sánh độc lập được chọn để xác định tỷ suất lợi nhuận gộp hoặc tỷ suất lợi nhuận thuần tương ứng của người nộp thuế.</w:t>
      </w:r>
    </w:p>
    <w:p>
      <w:pPr>
        <w:spacing w:after="120" w:line="360"/>
      </w:pPr>
      <w:r>
        <w:rPr>
          <w:rFonts w:ascii="Times New Roman" w:cs="Times New Roman" w:eastAsia="Times New Roman" w:hAnsi="Times New Roman"/>
          <w:sz w:val="26"/>
          <w:szCs w:val="26"/>
        </w:rPr>
        <w:t xml:space="preserve">Việc lựa chọn tỷ suất lợi nhuận bao gồm tỷ suất lợi nhuận gộp hoặc tỷ suất lợi nhuận thuần tính trên doanh thu, chi phí hoặc tài sản phụ thuộc vào bản chất và điều kiện kinh tế của giao dịch, chức năng của người nộp thuế và phương pháp hạch toán kế toán của các bên.</w:t>
      </w:r>
    </w:p>
    <w:p>
      <w:pPr>
        <w:spacing w:after="120" w:line="360"/>
      </w:pPr>
      <w:r>
        <w:rPr>
          <w:rFonts w:ascii="Times New Roman" w:cs="Times New Roman" w:eastAsia="Times New Roman" w:hAnsi="Times New Roman"/>
          <w:sz w:val="26"/>
          <w:szCs w:val="26"/>
        </w:rPr>
        <w:t xml:space="preserve">Cơ sở xác định tỷ suất lợi nhuận là số liệu kế toán của người nộp thuế về doanh thu, chi phí hoặc tài sản không do các bên liên kết kiểm soát, quyết định.</w:t>
      </w:r>
    </w:p>
    <w:p>
      <w:pPr>
        <w:spacing w:after="120" w:line="360"/>
      </w:pPr>
      <w:r>
        <w:rPr>
          <w:rFonts w:ascii="Times New Roman" w:cs="Times New Roman" w:eastAsia="Times New Roman" w:hAnsi="Times New Roman"/>
          <w:sz w:val="26"/>
          <w:szCs w:val="26"/>
        </w:rPr>
        <w:t xml:space="preserve">a) Phương pháp so sánh tỷ suất lợi nhuận gộp trên doanh thu (phương pháp giá bán lại): Giá mua vào của hàng hóa, dịch vụ, tài sản (giá vốn) từ bên liên kết bằng (=) giá bán ra (doanh thu thuần) của hàng hóa, dịch vụ, tài sản bán lại cho bên độc lập trừ (-) lợi nhuận gộp trên giá bán ra (doanh thu thuần) của người nộp thuế trừ (-) một số chi phí khác bao gồm trong giá mua: Thuế nhập khẩu; lệ phí hải quan; chi phí bảo hiểm, vận chuyển quốc tế (nếu có).</w:t>
      </w:r>
    </w:p>
    <w:p>
      <w:pPr>
        <w:spacing w:after="120" w:line="360"/>
      </w:pPr>
      <w:r>
        <w:rPr>
          <w:rFonts w:ascii="Times New Roman" w:cs="Times New Roman" w:eastAsia="Times New Roman" w:hAnsi="Times New Roman"/>
          <w:sz w:val="26"/>
          <w:szCs w:val="26"/>
        </w:rPr>
        <w:t xml:space="preserve">Lợi nhuận gộp trên giá bán ra (doanh thu thuần) của người nộp thuế được xác định từ các đối tượng so sánh độc lập bằng (=) giá bán ra (doanh thu thuần) của người nộp thuế nhân (x) tỷ suất lợi nhuận gộp trên giá bán ra (doanh thu thuần) của các đối tượng so sánh độc lập được lựa chọn.</w:t>
      </w:r>
    </w:p>
    <w:p>
      <w:pPr>
        <w:spacing w:after="120" w:line="360"/>
      </w:pPr>
      <w:r>
        <w:rPr>
          <w:rFonts w:ascii="Times New Roman" w:cs="Times New Roman" w:eastAsia="Times New Roman" w:hAnsi="Times New Roman"/>
          <w:sz w:val="26"/>
          <w:szCs w:val="26"/>
        </w:rPr>
        <w:t xml:space="preserve">Tỷ suất lợi nhuận gộp trên giá bán ra (doanh thu thuần) của các đối tượng so sánh độc lập được lựa chọn là giá trị thuộc khoảng giao dịch độc lập chuẩn của tỷ suất lợi nhuận gộp trên giá bán ra (doanh thu thuần) của các đối tượng so sánh độc lập được lựa chọn để điều chỉnh phù hợp với các nguyên tắc quy định tại Nghị định này.</w:t>
      </w:r>
    </w:p>
    <w:p>
      <w:pPr>
        <w:spacing w:after="120" w:line="360"/>
      </w:pPr>
      <w:r>
        <w:rPr>
          <w:rFonts w:ascii="Times New Roman" w:cs="Times New Roman" w:eastAsia="Times New Roman" w:hAnsi="Times New Roman"/>
          <w:sz w:val="26"/>
          <w:szCs w:val="26"/>
        </w:rPr>
        <w:t xml:space="preserve">Giá mua vào từ bên liên kết (hoặc giá vốn) được điều chỉnh theo đối tượng so sánh độc lập là giá tính thuế, chi phí kê khai, để xác định nghĩa vụ thuế thu nhập doanh nghiệp phải nộp của người nộp thuế.</w:t>
      </w:r>
    </w:p>
    <w:p>
      <w:pPr>
        <w:spacing w:after="120" w:line="360"/>
      </w:pPr>
      <w:r>
        <w:rPr>
          <w:rFonts w:ascii="Times New Roman" w:cs="Times New Roman" w:eastAsia="Times New Roman" w:hAnsi="Times New Roman"/>
          <w:sz w:val="26"/>
          <w:szCs w:val="26"/>
        </w:rPr>
        <w:t xml:space="preserve">b) Phương pháp so sánh tỷ suất lợi nhuận gộp trên giá vốn (phương pháp giá vốn cộng lãi): Giá bán ra (hoặc doanh thu thuần) của hàng hóa, dịch vụ, tài sản bán cho bên liên kết được xác định bằng (=) giá vốn của hàng hóa, dịch vụ, tài sản mua vào từ bên độc lập cộng (+) lợi nhuận gộp trên giá vốn của người nộp thuế.</w:t>
      </w:r>
    </w:p>
    <w:p>
      <w:pPr>
        <w:spacing w:after="120" w:line="360"/>
      </w:pPr>
      <w:r>
        <w:rPr>
          <w:rFonts w:ascii="Times New Roman" w:cs="Times New Roman" w:eastAsia="Times New Roman" w:hAnsi="Times New Roman"/>
          <w:sz w:val="26"/>
          <w:szCs w:val="26"/>
        </w:rPr>
        <w:t xml:space="preserve">Lợi nhuận gộp trên giá vốn của người nộp thuế được xác định từ các đối tượng so sánh độc lập bằng (=) giá vốn của người nộp thuế nhân (x) tỷ suất lợi nhuận gộp trên giá vốn của các đối tượng so sánh độc lập được lựa chọn.</w:t>
      </w:r>
    </w:p>
    <w:p>
      <w:pPr>
        <w:spacing w:after="120" w:line="360"/>
      </w:pPr>
      <w:r>
        <w:rPr>
          <w:rFonts w:ascii="Times New Roman" w:cs="Times New Roman" w:eastAsia="Times New Roman" w:hAnsi="Times New Roman"/>
          <w:sz w:val="26"/>
          <w:szCs w:val="26"/>
        </w:rPr>
        <w:t xml:space="preserve">Tỷ suất lợi nhuận gộp trên giá vốn của các đối tượng so sánh độc lập được lựa chọn là giá trị thuộc khoảng giao dịch độc lập chuẩn của tỷ suất lợi nhuận gộp trên giá vốn của các đối tượng so sánh độc lập được lựa chọn để điều chỉnh phù hợp với các nguyên tắc quy định tại Nghị định này.</w:t>
      </w:r>
    </w:p>
    <w:p>
      <w:pPr>
        <w:spacing w:after="120" w:line="360"/>
      </w:pPr>
      <w:r>
        <w:rPr>
          <w:rFonts w:ascii="Times New Roman" w:cs="Times New Roman" w:eastAsia="Times New Roman" w:hAnsi="Times New Roman"/>
          <w:sz w:val="26"/>
          <w:szCs w:val="26"/>
        </w:rPr>
        <w:t xml:space="preserve">Giá bán ra cho bên liên kết (hoặc doanh thu thuần) được điều chỉnh theo đối tượng so sánh độc lập là giá tính thuế, chi phí kê khai để xác định nghĩa vụ thuế thu nhập doanh nghiệp phải nộp của người nộp thuế.</w:t>
      </w:r>
    </w:p>
    <w:p>
      <w:pPr>
        <w:spacing w:after="120" w:line="360"/>
      </w:pPr>
      <w:r>
        <w:rPr>
          <w:rFonts w:ascii="Times New Roman" w:cs="Times New Roman" w:eastAsia="Times New Roman" w:hAnsi="Times New Roman"/>
          <w:sz w:val="26"/>
          <w:szCs w:val="26"/>
        </w:rPr>
        <w:t xml:space="preserve">c) Phương pháp so sánh tỷ suất lợi nhuận thuần: Tỷ suất lợi nhuận thuần chưa trừ chi phí lãi vay và thuế thu nhập doanh nghiệp trên doanh thu, chi phí hoặc tài sản của người nộp thuế thực hiện giao dịch liên kết được điều chỉnh theo tỷ suất lợi nhuận thuần chưa trừ chi phí lãi vay trên doanh thu, chi phí hoặc tài sản của các đối tượng so sánh độc lập được chọn, trên cơ sở đó điều chỉnh, xác định nghĩa vụ thuế của người nộp thuế.</w:t>
      </w:r>
    </w:p>
    <w:p>
      <w:pPr>
        <w:spacing w:after="120" w:line="360"/>
      </w:pPr>
      <w:r>
        <w:rPr>
          <w:rFonts w:ascii="Times New Roman" w:cs="Times New Roman" w:eastAsia="Times New Roman" w:hAnsi="Times New Roman"/>
          <w:sz w:val="26"/>
          <w:szCs w:val="26"/>
        </w:rPr>
        <w:t xml:space="preserve">Lợi nhuận thuần không bao gồm chênh lệch doanh thu và chi phí của hoạt động tài chính.</w:t>
      </w:r>
    </w:p>
    <w:p>
      <w:pPr>
        <w:spacing w:after="120" w:line="360"/>
      </w:pPr>
      <w:r>
        <w:rPr>
          <w:rFonts w:ascii="Times New Roman" w:cs="Times New Roman" w:eastAsia="Times New Roman" w:hAnsi="Times New Roman"/>
          <w:sz w:val="26"/>
          <w:szCs w:val="26"/>
        </w:rPr>
        <w:t xml:space="preserve">Tỷ suất lợi nhuận thuần được lựa chọn là giá trị thuộc khoảng giao dịch độc lập chuẩn của tỷ suất lợi nhuận thuần của các đối tượng so sánh độc lập được chọn để điều chỉnh, xác định thu nhập chịu thuế và nghĩa vụ thuế phải nộp của người nộp thuế phù hợp với các nguyên tắc quy định tại Nghị định này.</w:t>
      </w:r>
    </w:p>
    <w:p>
      <w:pPr>
        <w:spacing w:after="120" w:line="360"/>
      </w:pPr>
      <w:r>
        <w:rPr>
          <w:rFonts w:ascii="Times New Roman" w:cs="Times New Roman" w:eastAsia="Times New Roman" w:hAnsi="Times New Roman"/>
          <w:sz w:val="26"/>
          <w:szCs w:val="26"/>
        </w:rPr>
        <w:t xml:space="preserve">Các chỉ tiêu tỷ suất lợi nhuận thuần chưa trừ lãi vay và thuế thu nhập doanh nghiệp được xác định theo quy định của pháp luật về kế toán, quản lý thuế và thuế thu nhập doanh nghiệp.</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Kết quả xác định tỷ suất lợi nhuận được điều chỉnh của người nộp thuế là căn cứ xác định thu nhập chịu thuế và số thuế thu nhập doanh nghiệp phải nộp, nhưng không làm giảm nghĩa vụ thuế phải nộp ngân sách nhà nước của người nộp thuế.</w:t>
      </w:r>
    </w:p>
    <w:p>
      <w:pPr>
        <w:spacing w:after="120" w:line="360"/>
      </w:pPr>
      <w:r>
        <w:rPr>
          <w:rFonts w:ascii="Times New Roman" w:cs="Times New Roman" w:eastAsia="Times New Roman" w:hAnsi="Times New Roman"/>
          <w:sz w:val="26"/>
          <w:szCs w:val="26"/>
        </w:rPr>
        <w:t xml:space="preserve">Điều 15.</w:t>
      </w:r>
    </w:p>
    <w:p>
      <w:pPr>
        <w:spacing w:after="120" w:line="360"/>
      </w:pPr>
      <w:r>
        <w:rPr>
          <w:rFonts w:ascii="Times New Roman" w:cs="Times New Roman" w:eastAsia="Times New Roman" w:hAnsi="Times New Roman"/>
          <w:sz w:val="26"/>
          <w:szCs w:val="26"/>
        </w:rPr>
        <w:t xml:space="preserve">Phương pháp phân bổ lợi nhuận giữa các bên liên kết 1.</w:t>
      </w:r>
    </w:p>
    <w:p>
      <w:pPr>
        <w:spacing w:after="120" w:line="360"/>
      </w:pPr>
      <w:r>
        <w:rPr>
          <w:rFonts w:ascii="Times New Roman" w:cs="Times New Roman" w:eastAsia="Times New Roman" w:hAnsi="Times New Roman"/>
          <w:sz w:val="26"/>
          <w:szCs w:val="26"/>
        </w:rPr>
        <w:t xml:space="preserve">Các trường hợp áp dụng: a) Người nộp thuế tham gia thực hiện giao dịch liên kết, đặc thù, được tích hợp, khép kín trong tập đoàn, các hoạt động phát triển sản phẩm mới, sử dụng công nghệ độc quyền, tham gia vào chuỗi giá trị giao dịch độc quyền của tập đoàn hoặc quá trình phát triển, gia tăng, duy trì, bảo vệ và khai thác tài sản vô hình độc quyền, không có căn cứ để xác định giá giữa các bên liên kết hoặc các giao dịch có liên quan chặt chẽ, thực hiện đồng thời, các giao dịch tài chính phức tạp liên quan đến nhiều thị trường tài chính trên thế giới; b) Người nộp thuế tham gia các giao dịch kinh tế số, không có căn cứ để xác định giá giữa các bên liên kết hoặc tham gia việc tạo giá trị tăng thêm thu được từ hợp lực trong tập đoàn; c) Người nộp thuế thực hiện chức năng tự chủ đối với toàn bộ quá trình sản xuất, kinh doanh và không phải đối tượng áp dụng theo quy định tại khoản 1 Điều 13, khoản 1 Điều 14 Nghị định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Nguyên tắc áp dụng: Phương pháp phân bổ lợi nhuận là phương pháp phân bổ tổng lợi nhuận thu được để xác định lợi nhuận của người nộp thuế tham gia vào chuỗi giao dịch.</w:t>
      </w:r>
    </w:p>
    <w:p>
      <w:pPr>
        <w:spacing w:after="120" w:line="360"/>
      </w:pPr>
      <w:r>
        <w:rPr>
          <w:rFonts w:ascii="Times New Roman" w:cs="Times New Roman" w:eastAsia="Times New Roman" w:hAnsi="Times New Roman"/>
          <w:sz w:val="26"/>
          <w:szCs w:val="26"/>
        </w:rPr>
        <w:t xml:space="preserve">Phương pháp phân bổ lợi nhuận được áp dụng đối với: Tổng lợi nhuận thực tế và lợi nhuận tiềm năng thu được xác định bằng các số liệu tài chính trên cơ sở các chứng từ hợp lý, hợp lệ; giá trị và lợi nhuận của giao dịch phải được xác định theo cùng phương pháp kế toán trong toàn bộ thời gian áp dụng phương pháp phân bổ lợi nhuận.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xác định: Lợi nhuận được điều chỉnh của người nộp thuế được phân bổ trên tổng lợi nhuận thu được, bao gồm lợi nhuận thực tế và lợi nhuận tiềm năng của các bên tham gia chuỗi giao dịch.</w:t>
      </w:r>
    </w:p>
    <w:p>
      <w:pPr>
        <w:spacing w:after="120" w:line="360"/>
      </w:pPr>
      <w:r>
        <w:rPr>
          <w:rFonts w:ascii="Times New Roman" w:cs="Times New Roman" w:eastAsia="Times New Roman" w:hAnsi="Times New Roman"/>
          <w:sz w:val="26"/>
          <w:szCs w:val="26"/>
        </w:rPr>
        <w:t xml:space="preserve">Lợi nhuận được điều chỉnh của người nộp thuế là tổng lợi nhuận cơ bản và lợi nhuận phụ trội.</w:t>
      </w:r>
    </w:p>
    <w:p>
      <w:pPr>
        <w:spacing w:after="120" w:line="360"/>
      </w:pPr>
      <w:r>
        <w:rPr>
          <w:rFonts w:ascii="Times New Roman" w:cs="Times New Roman" w:eastAsia="Times New Roman" w:hAnsi="Times New Roman"/>
          <w:sz w:val="26"/>
          <w:szCs w:val="26"/>
        </w:rPr>
        <w:t xml:space="preserve">Lợi nhuận cơ bản xác định theo phương pháp so sánh tỷ suất lợi nhuận quy định tại Điều 14 Nghị định này.</w:t>
      </w:r>
    </w:p>
    <w:p>
      <w:pPr>
        <w:spacing w:after="120" w:line="360"/>
      </w:pPr>
      <w:r>
        <w:rPr>
          <w:rFonts w:ascii="Times New Roman" w:cs="Times New Roman" w:eastAsia="Times New Roman" w:hAnsi="Times New Roman"/>
          <w:sz w:val="26"/>
          <w:szCs w:val="26"/>
        </w:rPr>
        <w:t xml:space="preserve">Lợi nhuận phụ trội xác định theo tỷ lệ phân bổ dựa trên một hoặc một số yếu tố như doanh thu, chi phí, tài sản hoặc nhân lực của các bên liên kết tham gia giao dịch và phù hợp nguyên tắc giao dịch độc lập.</w:t>
      </w:r>
    </w:p>
    <w:p>
      <w:pPr>
        <w:spacing w:after="120" w:line="360"/>
      </w:pPr>
      <w:r>
        <w:rPr>
          <w:rFonts w:ascii="Times New Roman" w:cs="Times New Roman" w:eastAsia="Times New Roman" w:hAnsi="Times New Roman"/>
          <w:sz w:val="26"/>
          <w:szCs w:val="26"/>
        </w:rPr>
        <w:t xml:space="preserve">Trường hợp không đủ thông tin, dữ liệu để phân bổ lợi nhuận được điều chỉnh theo quy định trên, việc phân bổ có thể dựa trên một hoặc một số yếu tố như doanh thu, chi phí, tài sản hoặc nhân lực của các bên liên kết tham gia giao dịch và phù hợp nguyên tắc giao dịch độc lập.</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Kết quả xác định lợi nhuận được điều chỉnh của người nộp thuế là căn cứ xác định thu nhập chịu thuế và số thuế thu nhập doanh nghiệp phải nộp, nhưng không làm giảm nghĩa vụ thuế phải nộp ngân sách nhà nước của người nộp thuế.</w:t>
      </w:r>
    </w:p>
    <w:p>
      <w:pPr>
        <w:spacing w:after="120" w:line="360"/>
      </w:pPr>
      <w:r>
        <w:rPr>
          <w:rFonts w:ascii="Times New Roman" w:cs="Times New Roman" w:eastAsia="Times New Roman" w:hAnsi="Times New Roman"/>
          <w:sz w:val="26"/>
          <w:szCs w:val="26"/>
        </w:rPr>
        <w:t xml:space="preserve">Chương III CHI PHÍ TÍNH THUẾ VÀ KÊ KHAI, XÁC ĐỊNH GIÁ GIAO DỊCH LIÊN KẾT Điều 16.</w:t>
      </w:r>
    </w:p>
    <w:p>
      <w:pPr>
        <w:spacing w:after="120" w:line="360"/>
      </w:pPr>
      <w:r>
        <w:rPr>
          <w:rFonts w:ascii="Times New Roman" w:cs="Times New Roman" w:eastAsia="Times New Roman" w:hAnsi="Times New Roman"/>
          <w:sz w:val="26"/>
          <w:szCs w:val="26"/>
        </w:rPr>
        <w:t xml:space="preserve">Xác định chi phí để tính thuế đối với doanh nghiệp có giao dịch liên kết 1.</w:t>
      </w:r>
    </w:p>
    <w:p>
      <w:pPr>
        <w:spacing w:after="120" w:line="360"/>
      </w:pPr>
      <w:r>
        <w:rPr>
          <w:rFonts w:ascii="Times New Roman" w:cs="Times New Roman" w:eastAsia="Times New Roman" w:hAnsi="Times New Roman"/>
          <w:sz w:val="26"/>
          <w:szCs w:val="26"/>
        </w:rPr>
        <w:t xml:space="preserve">Chi phí của giao dịch liên kết không phù hợp bản chất giao dịch độc lập hoặc không góp phần tạo ra doanh thu, thu nhập cho hoạt động sản xuất, kinh doanh của người nộp thuế không được tính vào chi phí được trừ khi xác định thu nhập chịu thuế thu nhập doanh nghiệp trong kỳ, bao gồm: a) Chi phí thanh toán cho bên liên kết không thực hiện bất kỳ hoạt động sản xuất, kinh doanh nào liên quan đến ngành nghề, hoạt động sản xuất, kinh doanh của người nộp thuế; không có quyền lợi, trách nhiệm liên quan đối với tài sản, hàng hóa, dịch vụ cung cấp cho người nộp thuế; b) Chi phí thanh toán cho bên liên kết có hoạt động sản xuất, kinh doanh nhưng quy mô tài sản, số lượng nhân viên và chức năng sản xuất, kinh doanh không tương xứng với giá trị giao dịch mà bên liên kết nhận được từ người nộp thuế; c) Chi phí thanh toán cho bên liên kết là đối tượng cư trú của một nước hoặc vùng lãnh thổ không thu thuế thu nhập doanh nghiệp, không góp phần tạo ra doanh thu, giá trị gia tăng cho hoạt động sản xuất, kinh doanh của người nộp thuế.</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Chi phí dịch vụ giữa các bên liên kết: a) Trừ các khoản chi quy định tại điểm b khoản này, người nộp thuế được trừ các khoản chi phí dịch vụ vào chi phí tính thuế trong kỳ nếu đáp ứng đủ các điều kiện như sau: Dịch vụ được cung cấp có giá trị thương mại, tài chính, kinh tế và phục vụ trực tiếp cho hoạt động sản xuất kinh doanh của người nộp thuế; dịch vụ từ các bên liên kết được xác định đã cung cấp trong điều kiện hoàn cảnh tương tự các bên độc lập chi trả cho các dịch vụ này; phí dịch vụ được thanh toán trên cơ sở nguyên tắc giao dịch độc lập và phương pháp tính giá giao dịch liên kết hoặc phân bổ mức phí dịch vụ giữa các bên liên kết phải được áp dụng thống nhất trong toàn tập đoàn đối với loại hình dịch vụ tương tự và người nộp thuế phải cung cấp hợp đồng, chứng từ, hóa đơn và thông tin về phương pháp tính, yếu tố phân bổ và chính sách giá của tập đoàn đối với dịch vụ được cung cấp.</w:t>
      </w:r>
    </w:p>
    <w:p>
      <w:pPr>
        <w:spacing w:after="120" w:line="360"/>
      </w:pPr>
      <w:r>
        <w:rPr>
          <w:rFonts w:ascii="Times New Roman" w:cs="Times New Roman" w:eastAsia="Times New Roman" w:hAnsi="Times New Roman"/>
          <w:sz w:val="26"/>
          <w:szCs w:val="26"/>
        </w:rPr>
        <w:t xml:space="preserve">Trường hợp liên quan đến các trung tâm thực hiện chức năng chuyên môn hóa và hợp lực tạo giá trị tăng thêm của tập đoàn, người nộp thuế phải xác định tổng giá trị tạo ra từ các chức năng này, xác định mức phân bổ lợi nhuận phù hợp với giá trị đóng góp của các bên liên kết sau khi đã trừ (-) mức phí dịch vụ tương ứng cho bên liên kết thực hiện chức năng điều phối, cung cấp dịch vụ của giao dịch độc lập có tính chất tương đồng.</w:t>
      </w:r>
    </w:p>
    <w:p>
      <w:pPr>
        <w:spacing w:after="120" w:line="360"/>
      </w:pPr>
      <w:r>
        <w:rPr>
          <w:rFonts w:ascii="Times New Roman" w:cs="Times New Roman" w:eastAsia="Times New Roman" w:hAnsi="Times New Roman"/>
          <w:sz w:val="26"/>
          <w:szCs w:val="26"/>
        </w:rPr>
        <w:t xml:space="preserve">b) Chi phí dịch vụ không được trừ khi xác định thu nhập chịu thuế bao gồm: Chi phí phát sinh từ các dịch vụ được cung cấp chỉ nhằm mục đích phục vụ lợi ích hoặc tạo giá trị cho các bên liên kết khác; dịch vụ phục vụ lợi ích cổ đông của bên liên kết; dịch vụ tính phí trùng lắp do nhiều bên liên kết cung cấp cho cùng một loại dịch vụ, không xác định được giá trị gia tăng cho người nộp thuế; dịch vụ về bản chất là các lợi ích người nộp thuế nhận được do là thành viên của một tập đoàn và chi phí mà bên liên kết cộng thêm đối với dịch vụ do bên thứ ba cung cấp thông qua trung gian bên liên kết không đóng góp thêm giá trị cho dịch vụ.</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Tổng chi phí lãi vay được trừ khi xác định thu nhập chịu thuế thu nhập doanh nghiệp đối với doanh nghiệp có giao dịch liên kết: a) Tổng chi phí lãi vay sau khi trừ lãi tiền gửi và lãi cho vay phát sinh trong kỳ của người nộp thuế được trừ khi xác định thu nhập chịu thuế thu nhập doanh nghiệp không vượt quá 30% của tổng lợi nhuận thuần từ hoạt động kinh doanh trong kỳ cộng chi phí lãi vay sau khi trừ lãi tiền gửi và lãi cho vay phát sinh trong kỳ cộng chi phí khấu hao phát sinh trong kỳ của người nộp thuế; b) Phần chi phí lãi vay không được trừ theo quy định tại điểm a khoản này được chuyển sang kỳ tính thuế tiếp theo khi xác định tổng chi phí lãi vay được trừ trong trường hợp tổng chi phí lãi vay phát sinh được trừ của kỳ tính thuế tiếp theo thấp hơn mức quy định tại điểm a khoản này.</w:t>
      </w:r>
    </w:p>
    <w:p>
      <w:pPr>
        <w:spacing w:after="120" w:line="360"/>
      </w:pPr>
      <w:r>
        <w:rPr>
          <w:rFonts w:ascii="Times New Roman" w:cs="Times New Roman" w:eastAsia="Times New Roman" w:hAnsi="Times New Roman"/>
          <w:sz w:val="26"/>
          <w:szCs w:val="26"/>
        </w:rPr>
        <w:t xml:space="preserve">Thời gian chuyển chi phí lãi vay tính liên tục không quá 05 năm kể từ năm tiếp sau năm phát sinh chi phí lãi vay không được trừ; c) Quy định tại điểm a khoản này không áp dụng với các khoản vay của người nộp thuế là tổ chức tín dụng theo Luật Các tổ chức tín dụng; tổ chức kinh doanh bảo hiểm theo Luật Kinh doanh bảo hiểm; các khoản vay vốn hỗ trợ phát triển chính thức (ODA), vay ưu đãi của Chính phủ thực hiện theo phương thức Chính phủ đi vay nước ngoài cho các doanh nghiệp vay lại; các khoản vay thực hiện chương trình mục tiêu quốc gia (chương trình nông thôn mới và giảm nghèo bền vững); các khoản vay đầu tư chương trình, dự án thực hiện chính sách phúc lợi xã hội của Nhà nước (nhà ở tái định cư, nhà ở công nhân, sinh viên, nhà ở xã hội và dự án phúc lợi công cộng khác); d) Người nộp thuế kê khai tỷ lệ chi phí lãi vay trong kỳ tính thuế theo Phụ lục I ban hành kèm theo Nghị định này.</w:t>
      </w:r>
    </w:p>
    <w:p>
      <w:pPr>
        <w:spacing w:after="120" w:line="360"/>
      </w:pPr>
      <w:r>
        <w:rPr>
          <w:rFonts w:ascii="Times New Roman" w:cs="Times New Roman" w:eastAsia="Times New Roman" w:hAnsi="Times New Roman"/>
          <w:sz w:val="26"/>
          <w:szCs w:val="26"/>
        </w:rPr>
        <w:t xml:space="preserve">Điều 17.</w:t>
      </w:r>
    </w:p>
    <w:p>
      <w:pPr>
        <w:spacing w:after="120" w:line="360"/>
      </w:pPr>
      <w:r>
        <w:rPr>
          <w:rFonts w:ascii="Times New Roman" w:cs="Times New Roman" w:eastAsia="Times New Roman" w:hAnsi="Times New Roman"/>
          <w:sz w:val="26"/>
          <w:szCs w:val="26"/>
        </w:rPr>
        <w:t xml:space="preserve">Cơ sở dữ liệu sử dụng trong kê khai, xác định, quản lý giá giao dịch liên kết 1.</w:t>
      </w:r>
    </w:p>
    <w:p>
      <w:pPr>
        <w:spacing w:after="120" w:line="360"/>
      </w:pPr>
      <w:r>
        <w:rPr>
          <w:rFonts w:ascii="Times New Roman" w:cs="Times New Roman" w:eastAsia="Times New Roman" w:hAnsi="Times New Roman"/>
          <w:sz w:val="26"/>
          <w:szCs w:val="26"/>
        </w:rPr>
        <w:t xml:space="preserve">Cơ sở dữ liệu sử dụng trong kê khai, xác định giá giao dịch liên kết của người nộp thuế, bao gồm: a) Cơ sở dữ liệu thương mại là thông tin, số liệu tài chính, kinh tế được các tổ chức kinh doanh dữ liệu thu thập, tập hợp, chuẩn hóa, lưu trữ, cập nhật, cung cấp bằng các phần mềm hỗ trợ truy cập, quản lý với các công cụ, ứng dụng được lập trình sẵn, hỗ trợ tiện ích cho người sử dụng có thể tìm kiếm, truy cập và sử dụng dữ liệu tài chính, kinh tế của các doanh nghiệp trong và ngoài Việt Nam theo ngành nghề sản xuất kinh doanh, theo khu vực địa lý hoặc các tiêu chí tìm kiếm theo yêu cầu khác phục vụ mục đích so sánh, xác định đối tượng tương đồng trong kê khai và quản lý giá giao dịch liên kết; b) Thông tin dữ liệu của các doanh nghiệp được công bố công khai trên thị trường chứng khoán; c) Thông tin, dữ liệu công bố trên các sàn giao dịch hàng hóa, dịch vụ trong nước và quốc tế; d) Thông tin do các cơ quan bộ, ngành trong nước công bố công khai hoặc các nguồn chính thức khác.</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Cơ sở dữ liệu sử dụng trong quản lý giá giao dịch liên kết của Cơ quan thuế, bao gồm: a) Cơ sở dữ liệu quy định tại khoản 1 Điều này; b) Thông tin, dữ liệu trao đổi với các Cơ quan thuế đối tác theo quy định tại khoản 7 Điều 4 Nghị định này; c) Thông tin do các cơ quan bộ, ngành trong nước cung cấp cho Cơ quan thuế; d) Cơ sở dữ liệu của Cơ quan thuế trong quản lý rủi ro.</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Phân tích lựa chọn đối tượng so sánh độc lập để phân tích, xác định khoảng giao dịch độc lập tuân thủ nguyên tắc phân tích, so sánh và các phương pháp xác định giá giao dịch liên kết quy định tại Nghị định này, theo thứ tự ưu tiên lựa chọn dữ liệu so sánh như sau: a) Đối tượng so sánh nội bộ của người nộp thuế; b) Đối tượng so sánh cư trú cùng quốc gia, lãnh thổ với người nộp thuế; c) Đối tượng ở các nước trong khu vực có điều kiện ngành và trình độ phát triển kinh tế tương đồng.</w:t>
      </w:r>
    </w:p>
    <w:p>
      <w:pPr>
        <w:spacing w:after="120" w:line="360"/>
      </w:pPr>
      <w:r>
        <w:rPr>
          <w:rFonts w:ascii="Times New Roman" w:cs="Times New Roman" w:eastAsia="Times New Roman" w:hAnsi="Times New Roman"/>
          <w:sz w:val="26"/>
          <w:szCs w:val="26"/>
        </w:rPr>
        <w:t xml:space="preserve">Trường hợp lựa chọn đối tượng so sánh nước ngoài tại các thị trường địa lý khác, phải phân tích tính tương đồng và các khác biệt trọng yếu định tính và định lượng theo quy định tại điều 9 và điều 10 Nghị định này.</w:t>
      </w:r>
    </w:p>
    <w:p>
      <w:pPr>
        <w:spacing w:after="120" w:line="360"/>
      </w:pPr>
      <w:r>
        <w:rPr>
          <w:rFonts w:ascii="Times New Roman" w:cs="Times New Roman" w:eastAsia="Times New Roman" w:hAnsi="Times New Roman"/>
          <w:sz w:val="26"/>
          <w:szCs w:val="26"/>
        </w:rPr>
        <w:t xml:space="preserve">Điều 18.</w:t>
      </w:r>
    </w:p>
    <w:p>
      <w:pPr>
        <w:spacing w:after="120" w:line="360"/>
      </w:pPr>
      <w:r>
        <w:rPr>
          <w:rFonts w:ascii="Times New Roman" w:cs="Times New Roman" w:eastAsia="Times New Roman" w:hAnsi="Times New Roman"/>
          <w:sz w:val="26"/>
          <w:szCs w:val="26"/>
        </w:rPr>
        <w:t xml:space="preserve">Quyền và nghĩa vụ của người nộp thuế trong kê khai, xác định giá giao dịch liên kết 1.</w:t>
      </w:r>
    </w:p>
    <w:p>
      <w:pPr>
        <w:spacing w:after="120" w:line="360"/>
      </w:pPr>
      <w:r>
        <w:rPr>
          <w:rFonts w:ascii="Times New Roman" w:cs="Times New Roman" w:eastAsia="Times New Roman" w:hAnsi="Times New Roman"/>
          <w:sz w:val="26"/>
          <w:szCs w:val="26"/>
        </w:rPr>
        <w:t xml:space="preserve">Người nộp thuế có giao dịch liên kết thuộc phạm vi điều chỉnh tại Nghị định này có các quyền theo quy định của Luật Quản lý thuế số 38/2019/QH14 ngày 13 tháng 6 năm 2019.</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Người nộp thuế có giao dịch liên kết thuộc phạm vi điều chỉnh tại Nghị định này có trách nhiệm kê khai, xác định giá giao dịch liên kết, không làm giảm nghĩa vụ thuế thu nhập doanh nghiệp phải nộp tại Việt Nam theo quy định tại Nghị định này.</w:t>
      </w:r>
    </w:p>
    <w:p>
      <w:pPr>
        <w:spacing w:after="120" w:line="360"/>
      </w:pPr>
      <w:r>
        <w:rPr>
          <w:rFonts w:ascii="Times New Roman" w:cs="Times New Roman" w:eastAsia="Times New Roman" w:hAnsi="Times New Roman"/>
          <w:sz w:val="26"/>
          <w:szCs w:val="26"/>
        </w:rPr>
        <w:t xml:space="preserve">Người nộp thuế có trách nhiệm chứng minh việc thực hiện phân tích, so sánh và lựa chọn phương pháp xác định giá giao dịch liên kết theo quy định tại Nghị định này khi Cơ quan có thẩm quyền yêu cầu.</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Người nộp thuế có giao dịch liên kết thuộc phạm vi điều chỉnh tại Nghị định này có trách nhiệm kê khai thông tin về quan hệ liên kết và giao dịch liên kết theo Phụ lục I, Phụ lục II, Phụ lục III ban hành kèm theo Nghị định này và nộp cùng Tờ khai quyết toán thuế thu nhập doanh nghiệp.</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Người nộp thuế có trách nhiệm lưu giữ và cung cấp Hồ sơ xác định giá giao dịch liên kết là các thông tin, tài liệu, số liệu, chứng từ gồm: a) Thông tin về quan hệ liên kết và giao dịch liên kết theo Phụ lục I ban hành kèm theo Nghị định này; b) Hồ sơ quốc gia là các thông tin về giao dịch liên kết, chính sách và phương pháp xác định giá đối với giao dịch liên kết được lập và lưu tại trụ sở của người nộp thuế theo danh mục các nội dung thông tin, tài liệu quy định tại Phụ lục II ban hành kèm theo Nghị định này; c) Hồ sơ toàn cầu là các thông tin về hoạt động kinh doanh của tập đoàn đa quốc gia, chính sách và phương pháp xác định giá giao dịch liên kết của tập đoàn trên toàn cầu và chính sách phân bổ thu nhập và phân bổ các hoạt động, chức năng trong chuỗi giá trị của tập đoàn theo danh mục các nội dung thông tin, tài liệu quy định tại Phụ lục III ban hành kèm theo Nghị định này; d) Báo cáo lợi nhuận liên quốc gia của Công ty mẹ tối cao theo quy định tại khoản 5 Điều này và Phụ lục IV ban hành kèm theo Nghị định này.</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Người nộp thuế có nghĩa vụ liên quan đến Báo cáo lợi nhuận liên quốc gia: a) Trường hợp người nộp thuế là Công ty mẹ tối cao tại Việt Nam có doanh thu hợp nhất toàn cầu trong kỳ tính thuế từ mười tám nghìn tỷ đồng trở lên, có trách nhiệm lập Báo cáo lợi nhuận liên quốc gia tại Hồ sơ xác định giá giao dịch liên kết theo Phụ lục IV ban hành kèm theo Nghị định này.</w:t>
      </w:r>
    </w:p>
    <w:p>
      <w:pPr>
        <w:spacing w:after="120" w:line="360"/>
      </w:pPr>
      <w:r>
        <w:rPr>
          <w:rFonts w:ascii="Times New Roman" w:cs="Times New Roman" w:eastAsia="Times New Roman" w:hAnsi="Times New Roman"/>
          <w:sz w:val="26"/>
          <w:szCs w:val="26"/>
        </w:rPr>
        <w:t xml:space="preserve">Thời hạn nộp Báo cáo cho Cơ quan thuế chậm nhất là 12 tháng sau ngày kết thúc năm tài chính của Công ty mẹ tối cao.</w:t>
      </w:r>
    </w:p>
    <w:p>
      <w:pPr>
        <w:spacing w:after="120" w:line="360"/>
      </w:pPr>
      <w:r>
        <w:rPr>
          <w:rFonts w:ascii="Times New Roman" w:cs="Times New Roman" w:eastAsia="Times New Roman" w:hAnsi="Times New Roman"/>
          <w:sz w:val="26"/>
          <w:szCs w:val="26"/>
        </w:rPr>
        <w:t xml:space="preserve">b) Người nộp thuế tại Việt Nam có công ty mẹ tối cao tại nước ngoài mà công ty mẹ tối cao có nghĩa vụ lập Báo cáo lợi nhuận liên quốc gia theo quy định của nước cư trú phải nộp cho Cơ quan thuế trong các trường hợp sau: - Quốc gia, vùng lãnh thổ nơi Công ty mẹ tối cao là đối tượng cư trú có Thỏa thuận quốc tế về thuế với Việt Nam nhưng không có Thỏa thuận của Nhà chức trách có thẩm quyền tại thời điểm đến hạn nộp Báo cáo theo quy định tại điểm a khoản này.</w:t>
      </w:r>
    </w:p>
    <w:p>
      <w:pPr>
        <w:spacing w:after="120" w:line="360"/>
      </w:pPr>
      <w:r>
        <w:rPr>
          <w:rFonts w:ascii="Times New Roman" w:cs="Times New Roman" w:eastAsia="Times New Roman" w:hAnsi="Times New Roman"/>
          <w:sz w:val="26"/>
          <w:szCs w:val="26"/>
        </w:rPr>
        <w:t xml:space="preserve">- Quốc gia, vùng lãnh thổ nước ngoài nơi Công ty mẹ tối cao là đối tượng cư trú có Thỏa thuận giữa Nhà chức trách có thẩm quyền với Việt Nam nhưng đã đình chỉ cơ chế trao đổi thông tin tự động hoặc không tự động cung cấp được cho Việt Nam Báo cáo lợi nhuận liên quốc gia của tập đoàn là đối tượng cư trú tại các quốc gia, vùng lãnh thổ nước ngoài đó.</w:t>
      </w:r>
    </w:p>
    <w:p>
      <w:pPr>
        <w:spacing w:after="120" w:line="360"/>
      </w:pPr>
      <w:r>
        <w:rPr>
          <w:rFonts w:ascii="Times New Roman" w:cs="Times New Roman" w:eastAsia="Times New Roman" w:hAnsi="Times New Roman"/>
          <w:sz w:val="26"/>
          <w:szCs w:val="26"/>
        </w:rPr>
        <w:t xml:space="preserve">- Trường hợp tập đoàn đa quốc gia có nhiều hơn 01 người nộp thuế tại Việt Nam và Công ty mẹ tối cao tại nước ngoài có văn bản thông báo chỉ định một trong những người nộp thuế tại Việt Nam nộp Báo cáo lợi nhuận liên quốc gia thì người nộp thuế được chỉ định có nghĩa vụ nộp Báo cáo lợi nhuận liên quốc gia cho Cơ quan thuế.</w:t>
      </w:r>
    </w:p>
    <w:p>
      <w:pPr>
        <w:spacing w:after="120" w:line="360"/>
      </w:pPr>
      <w:r>
        <w:rPr>
          <w:rFonts w:ascii="Times New Roman" w:cs="Times New Roman" w:eastAsia="Times New Roman" w:hAnsi="Times New Roman"/>
          <w:sz w:val="26"/>
          <w:szCs w:val="26"/>
        </w:rPr>
        <w:t xml:space="preserve">Người nộp thuế có nghĩa vụ nộp văn bản thông báo chỉ định của Công ty mẹ tối cao cho Cơ quan thuế trước hoặc vào ngày kết thúc năm tài chính của Công ty mẹ tối cao của người nộp thuế.</w:t>
      </w:r>
    </w:p>
    <w:p>
      <w:pPr>
        <w:spacing w:after="120" w:line="360"/>
      </w:pPr>
      <w:r>
        <w:rPr>
          <w:rFonts w:ascii="Times New Roman" w:cs="Times New Roman" w:eastAsia="Times New Roman" w:hAnsi="Times New Roman"/>
          <w:sz w:val="26"/>
          <w:szCs w:val="26"/>
        </w:rPr>
        <w:t xml:space="preserve">c) Quy định tại điểm b khoản này không áp dụng trong trường hợp Công ty mẹ tối cao của người nộp thuế tại Việt Nam chỉ định một tổ chức thay mặt nộp Báo cáo lợi nhuận liên quốc gia cho Cơ quan thuế nước sở tại trước hoặc vào ngày quy định tại điểm a khoản này và đáp ứng các điều kiện sau: - Quốc gia, vùng lãnh thổ nơi tổ chức thay mặt nộp báo cáo là đối tượng cư trú có quy định yêu cầu nộp Báo cáo lợi nhuận liên quốc gia.</w:t>
      </w:r>
    </w:p>
    <w:p>
      <w:pPr>
        <w:spacing w:after="120" w:line="360"/>
      </w:pPr>
      <w:r>
        <w:rPr>
          <w:rFonts w:ascii="Times New Roman" w:cs="Times New Roman" w:eastAsia="Times New Roman" w:hAnsi="Times New Roman"/>
          <w:sz w:val="26"/>
          <w:szCs w:val="26"/>
        </w:rPr>
        <w:t xml:space="preserve">- Quốc gia, vùng lãnh thổ nơi tổ chức thay mặt nộp báo cáo là đối tượng cư trú có Thỏa thuận giữa Nhà chức trách có thẩm quyền với Việt Nam là một bên ký kết tại thời điểm đến hạn nộp Báo cáo theo quy định tại điểm a khoản này.</w:t>
      </w:r>
    </w:p>
    <w:p>
      <w:pPr>
        <w:spacing w:after="120" w:line="360"/>
      </w:pPr>
      <w:r>
        <w:rPr>
          <w:rFonts w:ascii="Times New Roman" w:cs="Times New Roman" w:eastAsia="Times New Roman" w:hAnsi="Times New Roman"/>
          <w:sz w:val="26"/>
          <w:szCs w:val="26"/>
        </w:rPr>
        <w:t xml:space="preserve">- Quốc gia, vùng lãnh thổ nơi tổ chức thay mặt nộp báo cáo là đối tượng cư trú có Thỏa thuận giữa Nhà chức trách có thẩm quyền với Việt Nam, không đình chỉ cơ chế trao đổi thông tin tự động và cung cấp được cho Việt Nam Báo cáo lợi nhuận liên quốc gia của tập đoàn là đối tượng cư trú tại quốc gia, vùng lãnh thổ nước ngoài đó.</w:t>
      </w:r>
    </w:p>
    <w:p>
      <w:pPr>
        <w:spacing w:after="120" w:line="360"/>
      </w:pPr>
      <w:r>
        <w:rPr>
          <w:rFonts w:ascii="Times New Roman" w:cs="Times New Roman" w:eastAsia="Times New Roman" w:hAnsi="Times New Roman"/>
          <w:sz w:val="26"/>
          <w:szCs w:val="26"/>
        </w:rPr>
        <w:t xml:space="preserve">- Tổ chức thay mặt nộp báo cáo có văn bản thông báo được chỉ định nộp Báo cáo lợi nhuận liên quốc gia cho Cơ quan thuế nước cư trú vào trước hoặc vào ngày kết thúc năm tài chính của Công ty mẹ tối cao của tập đoàn.</w:t>
      </w:r>
    </w:p>
    <w:p>
      <w:pPr>
        <w:spacing w:after="120" w:line="360"/>
      </w:pPr>
      <w:r>
        <w:rPr>
          <w:rFonts w:ascii="Times New Roman" w:cs="Times New Roman" w:eastAsia="Times New Roman" w:hAnsi="Times New Roman"/>
          <w:sz w:val="26"/>
          <w:szCs w:val="26"/>
        </w:rPr>
        <w:t xml:space="preserve">- Văn bản thông báo chỉ định tổ chức thay mặt nộp báo cáo được người nộp thuế tại Việt Nam cung cấp cho Cơ quan thuế Việt Nam theo quy định tại điểm b khoản này.</w:t>
      </w:r>
    </w:p>
    <w:p>
      <w:pPr>
        <w:spacing w:after="120" w:line="360"/>
      </w:pPr>
      <w:r>
        <w:rPr>
          <w:rFonts w:ascii="Times New Roman" w:cs="Times New Roman" w:eastAsia="Times New Roman" w:hAnsi="Times New Roman"/>
          <w:sz w:val="26"/>
          <w:szCs w:val="26"/>
        </w:rPr>
        <w:t xml:space="preserve">- Người nộp thuế tại Việt Nam có văn bản thông báo cho Cơ quan thuế Việt Nam về tên, mã số thuế và nước cư trú của Công ty mẹ tối cao hoặc tổ chức thay mặt nộp báo cáo trước hoặc vào ngày cuối cùng của năm tài chính của tập đoàn.</w:t>
      </w:r>
    </w:p>
    <w:p>
      <w:pPr>
        <w:spacing w:after="120" w:line="360"/>
      </w:pPr>
      <w:r>
        <w:rPr>
          <w:rFonts w:ascii="Times New Roman" w:cs="Times New Roman" w:eastAsia="Times New Roman" w:hAnsi="Times New Roman"/>
          <w:sz w:val="26"/>
          <w:szCs w:val="26"/>
        </w:rPr>
        <w:t xml:space="preserve">d) Trường hợp người nộp thuế có Công ty mẹ tối cao tại nước ngoài phải nộp Báo cáo lợi nhuận liên quốc gia theo quy định của nước cư trú, Cơ quan thuế thực hiện trao đổi thông tin tự động theo cam kết tại các Thỏa thuận quốc tế về thuế của Việt Nam.</w:t>
      </w:r>
    </w:p>
    <w:p>
      <w:pPr>
        <w:spacing w:after="120" w:line="360"/>
      </w:pPr>
      <w:r>
        <w:rPr>
          <w:rFonts w:ascii="Times New Roman" w:cs="Times New Roman" w:eastAsia="Times New Roman" w:hAnsi="Times New Roman"/>
          <w:sz w:val="26"/>
          <w:szCs w:val="26"/>
        </w:rPr>
        <w:t xml:space="preserve">đ) Trường hợp người nộp thuế có Công ty mẹ tối cao không bắt buộc phải nộp Báo cáo lợi nhuận liên quốc gia theo quy định của nước cư trú thì thực hiện theo điều ước quốc tế về thuế.</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Hồ sơ xác định giá giao dịch liên kết được lập trước thời điểm kê khai quyết toán thuế thu nhập doanh nghiệp hàng năm và phải lưu giữ, xuất trình theo yêu cầu cung cấp thông tin của Cơ quan thuế.</w:t>
      </w:r>
    </w:p>
    <w:p>
      <w:pPr>
        <w:spacing w:after="120" w:line="360"/>
      </w:pPr>
      <w:r>
        <w:rPr>
          <w:rFonts w:ascii="Times New Roman" w:cs="Times New Roman" w:eastAsia="Times New Roman" w:hAnsi="Times New Roman"/>
          <w:sz w:val="26"/>
          <w:szCs w:val="26"/>
        </w:rPr>
        <w:t xml:space="preserve">Khi Cơ quan thuế thực hiện thanh tra, kiểm tra người nộp thuế, thời hạn cung cấp Hồ sơ xác định giá giao dịch liên kết theo quy định tại Luật Thanh tra kể từ khi nhận được yêu cầu cung cấp thông tin.</w:t>
      </w:r>
    </w:p>
    <w:p>
      <w:pPr>
        <w:spacing w:after="120" w:line="360"/>
      </w:pPr>
      <w:r>
        <w:rPr>
          <w:rFonts w:ascii="Times New Roman" w:cs="Times New Roman" w:eastAsia="Times New Roman" w:hAnsi="Times New Roman"/>
          <w:sz w:val="26"/>
          <w:szCs w:val="26"/>
        </w:rPr>
        <w:t xml:space="preserve">Hồ sơ xác định giá giao dịch liên kết và các thông tin tài liệu, chứng từ của người nộp thuế cung cấp cho Cơ quan thuế theo quy định của pháp luật quản lý thuế.</w:t>
      </w:r>
    </w:p>
    <w:p>
      <w:pPr>
        <w:spacing w:after="120" w:line="360"/>
      </w:pPr>
      <w:r>
        <w:rPr>
          <w:rFonts w:ascii="Times New Roman" w:cs="Times New Roman" w:eastAsia="Times New Roman" w:hAnsi="Times New Roman"/>
          <w:sz w:val="26"/>
          <w:szCs w:val="26"/>
        </w:rPr>
        <w:t xml:space="preserve">Các dữ liệu, chứng từ và tài liệu sử dụng làm căn cứ phân tích, so sánh, xác định giá giao dịch liên kết phải nêu rõ nguồn gốc xuất xứ.</w:t>
      </w:r>
    </w:p>
    <w:p>
      <w:pPr>
        <w:spacing w:after="120" w:line="360"/>
      </w:pPr>
      <w:r>
        <w:rPr>
          <w:rFonts w:ascii="Times New Roman" w:cs="Times New Roman" w:eastAsia="Times New Roman" w:hAnsi="Times New Roman"/>
          <w:sz w:val="26"/>
          <w:szCs w:val="26"/>
        </w:rPr>
        <w:t xml:space="preserve">Trường hợp dữ liệu của các đối tượng so sánh độc lập là số liệu kế toán, người nộp thuế có trách nhiệm lưu trữ và cung cấp cho Cơ quan thuế bằng bản mềm, dưới định dạng bảng tính.</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Người nộp thuế có trách nhiệm cung cấp đầy đủ, chính xác và chịu trách nhiệm trước pháp luật đối với các thông tin, tài liệu tại Hồ sơ xác định giá giao dịch liên kết khi có yêu cầu của Cơ quan thuế trong quá trình tham vấn trước khi tiến hành thanh tra, kiểm tra theo quy định tại Điều 20 Nghị định này.</w:t>
      </w:r>
    </w:p>
    <w:p>
      <w:pPr>
        <w:spacing w:after="120" w:line="360"/>
      </w:pPr>
      <w:r>
        <w:rPr>
          <w:rFonts w:ascii="Times New Roman" w:cs="Times New Roman" w:eastAsia="Times New Roman" w:hAnsi="Times New Roman"/>
          <w:sz w:val="26"/>
          <w:szCs w:val="26"/>
        </w:rPr>
        <w:t xml:space="preserve">Thời hạn cung cấp Hồ sơ xác định giá giao dịch liên kết không quá 30 ngày làm việc kể từ khi nhận được văn bản yêu cầu của Cơ quan thuế.</w:t>
      </w:r>
    </w:p>
    <w:p>
      <w:pPr>
        <w:spacing w:after="120" w:line="360"/>
      </w:pPr>
      <w:r>
        <w:rPr>
          <w:rFonts w:ascii="Times New Roman" w:cs="Times New Roman" w:eastAsia="Times New Roman" w:hAnsi="Times New Roman"/>
          <w:sz w:val="26"/>
          <w:szCs w:val="26"/>
        </w:rPr>
        <w:t xml:space="preserve">Trường hợp người nộp thuế có lý do chính đáng thì thời hạn cung cấp Hồ sơ xác định giá giao dịch liên kết được gia hạn 01 lần không quá 15 ngày làm việc, kể từ ngày hết hạn.</w:t>
      </w:r>
    </w:p>
    <w:p>
      <w:pPr>
        <w:spacing w:after="120" w:line="360"/>
      </w:pPr>
      <w:r>
        <w:rPr>
          <w:rFonts w:ascii="Times New Roman" w:cs="Times New Roman" w:eastAsia="Times New Roman" w:hAnsi="Times New Roman"/>
          <w:sz w:val="26"/>
          <w:szCs w:val="26"/>
        </w:rPr>
        <w:t xml:space="preserve">8.</w:t>
      </w:r>
    </w:p>
    <w:p>
      <w:pPr>
        <w:spacing w:after="120" w:line="360"/>
      </w:pPr>
      <w:r>
        <w:rPr>
          <w:rFonts w:ascii="Times New Roman" w:cs="Times New Roman" w:eastAsia="Times New Roman" w:hAnsi="Times New Roman"/>
          <w:sz w:val="26"/>
          <w:szCs w:val="26"/>
        </w:rPr>
        <w:t xml:space="preserve">Công ty tư vấn, kiểm toán độc lập hoặc công ty kinh doanh làm thủ tục về thuế là đại diện cho người nộp thuế lập Hồ sơ xác định giá giao dịch liên kết có trách nhiệm tuân thủ pháp luật quản lý thuế đối với doanh nghiệp có quan hệ liên kết quy định tại Nghị định này và chịu trách nhiệm trước pháp luật theo quy định.</w:t>
      </w:r>
    </w:p>
    <w:p>
      <w:pPr>
        <w:spacing w:after="120" w:line="360"/>
      </w:pPr>
      <w:r>
        <w:rPr>
          <w:rFonts w:ascii="Times New Roman" w:cs="Times New Roman" w:eastAsia="Times New Roman" w:hAnsi="Times New Roman"/>
          <w:sz w:val="26"/>
          <w:szCs w:val="26"/>
        </w:rPr>
        <w:t xml:space="preserve">Điều 19.</w:t>
      </w:r>
    </w:p>
    <w:p>
      <w:pPr>
        <w:spacing w:after="120" w:line="360"/>
      </w:pPr>
      <w:r>
        <w:rPr>
          <w:rFonts w:ascii="Times New Roman" w:cs="Times New Roman" w:eastAsia="Times New Roman" w:hAnsi="Times New Roman"/>
          <w:sz w:val="26"/>
          <w:szCs w:val="26"/>
        </w:rPr>
        <w:t xml:space="preserve">Các trường hợp người nộp thuế được miễn kê khai, miễn lập Hồ sơ xác định giá giao dịch liên kết 1.</w:t>
      </w:r>
    </w:p>
    <w:p>
      <w:pPr>
        <w:spacing w:after="120" w:line="360"/>
      </w:pPr>
      <w:r>
        <w:rPr>
          <w:rFonts w:ascii="Times New Roman" w:cs="Times New Roman" w:eastAsia="Times New Roman" w:hAnsi="Times New Roman"/>
          <w:sz w:val="26"/>
          <w:szCs w:val="26"/>
        </w:rPr>
        <w:t xml:space="preserve">Người nộp thuế được miễn kê khai xác định giá giao dịch liên kết tại mục III, mục IV Phụ lục I ban hành kèm theo Nghị định, miễn lập Hồ sơ xác định giá giao dịch liên kết theo quy định tại Nghị định này trong trường hợp chỉ phát sinh giao dịch với các bên liên kết là đối tượng nộp thuế thu nhập doanh nghiệp tại Việt Nam, áp dụng cùng mức thuế suất thuế thu nhập doanh nghiệp với người nộp thuế và không bên nào được hưởng ưu đãi thuế thu nhập doanh nghiệp trong kỳ tính thuế, nhưng phải kê khai căn cứ miễn trừ tại mục I, mục II tại Phụ lục I ban hành kèm theo Nghị định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Người nộp thuế có trách nhiệm kê khai xác định giá giao dịch liên kết theo Phụ lục I ban hành kèm theo Nghị định này nhưng được miễn lập Hồ sơ xác định giá giao dịch liên kết trong các trường hợp sau: a) Người nộp thuế có phát sinh giao dịch liên kết nhưng tổng doanh thu phát sinh của kỳ tính thuế dưới 50 tỷ đồng và tổng giá trị tất cả các giao dịch liên kết phát sinh trong kỳ tính thuế dưới 30 tỷ đồng; b) Người nộp thuế đã ký kết Thỏa thuận trước về phương pháp xác định giá tính thuế thực hiện nộp Báo cáo thường niên theo quy định pháp luật về Thỏa thuận trước về phương pháp xác định giá tính thuế.</w:t>
      </w:r>
    </w:p>
    <w:p>
      <w:pPr>
        <w:spacing w:after="120" w:line="360"/>
      </w:pPr>
      <w:r>
        <w:rPr>
          <w:rFonts w:ascii="Times New Roman" w:cs="Times New Roman" w:eastAsia="Times New Roman" w:hAnsi="Times New Roman"/>
          <w:sz w:val="26"/>
          <w:szCs w:val="26"/>
        </w:rPr>
        <w:t xml:space="preserve">Các giao dịch liên kết không thuộc phạm vi áp dụng Thỏa thuận trước về phương pháp xác định giá tính thuế, người nộp thuế có trách nhiệm kê khai xác định giá giao dịch liên kết theo quy định tại Điều 18 Nghị định này; c) Người nộp thuế thực hiện kinh doanh với chức năng đơn giản, không phát sinh doanh thu, chi phí từ hoạt động khai thác, sử dụng tài sản vô hình, có doanh thu dưới 200 tỷ đồng, áp dụng tỷ suất lợi nhuận thuần chưa trừ chi phí lãi vay và thuế thu nhập doanh nghiệp (không bao gồm chênh lệch doanh thu và chi phí của hoạt động tài chính) trên doanh thu thuần, bao gồm các lĩnh vực như sau: - Phân phối: Từ 5% trở lên; - Sản xuất: Từ 10% trở lên; - Gia công: Từ 15% trở lên.</w:t>
      </w:r>
    </w:p>
    <w:p>
      <w:pPr>
        <w:spacing w:after="120" w:line="360"/>
      </w:pPr>
      <w:r>
        <w:rPr>
          <w:rFonts w:ascii="Times New Roman" w:cs="Times New Roman" w:eastAsia="Times New Roman" w:hAnsi="Times New Roman"/>
          <w:sz w:val="26"/>
          <w:szCs w:val="26"/>
        </w:rPr>
        <w:t xml:space="preserve">Trường hợp người nộp thuế theo dõi, hạch toán riêng doanh thu, chi phí của từng lĩnh vực thì áp dụng tỷ suất lợi nhuận thuần chưa trừ chi phí lãi vay và thuế thu nhập doanh nghiệp trên doanh thu thuần tương ứng với từng lĩnh vực.</w:t>
      </w:r>
    </w:p>
    <w:p>
      <w:pPr>
        <w:spacing w:after="120" w:line="360"/>
      </w:pPr>
      <w:r>
        <w:rPr>
          <w:rFonts w:ascii="Times New Roman" w:cs="Times New Roman" w:eastAsia="Times New Roman" w:hAnsi="Times New Roman"/>
          <w:sz w:val="26"/>
          <w:szCs w:val="26"/>
        </w:rPr>
        <w:t xml:space="preserve">Trường hợp người nộp thuế theo dõi, hạch toán riêng được doanh thu nhưng không theo dõi, hạch toán riêng được chi phí phát sinh của từng lĩnh vực trong hoạt động sản xuất, kinh doanh thì thực hiện phân bổ chi phí theo tỷ lệ doanh thu của từng lĩnh vực để áp dụng tỷ suất lợi nhuận thuần chưa trừ chi phí lãi vay và thuế thu nhập doanh nghiệp trên doanh thu thuần tương ứng với từng lĩnh vực.</w:t>
      </w:r>
    </w:p>
    <w:p>
      <w:pPr>
        <w:spacing w:after="120" w:line="360"/>
      </w:pPr>
      <w:r>
        <w:rPr>
          <w:rFonts w:ascii="Times New Roman" w:cs="Times New Roman" w:eastAsia="Times New Roman" w:hAnsi="Times New Roman"/>
          <w:sz w:val="26"/>
          <w:szCs w:val="26"/>
        </w:rPr>
        <w:t xml:space="preserve">Trường hợp người nộp thuế không theo dõi, hạch toán riêng được doanh thu và chi phí của từng lĩnh vực hoạt động sản xuất, kinh doanh để xác định tỷ suất lợi nhuận thuần chưa trừ chi phí lãi vay và thuế thu nhập doanh nghiệp tương ứng với từng lĩnh vực thì áp dụng tỷ suất lợi nhuận thuần chưa trừ chi phí lãi vay và thuế thu nhập doanh nghiệp trên doanh thu thuần của lĩnh vực có tỷ suất cao nhất.</w:t>
      </w:r>
    </w:p>
    <w:p>
      <w:pPr>
        <w:spacing w:after="120" w:line="360"/>
      </w:pPr>
      <w:r>
        <w:rPr>
          <w:rFonts w:ascii="Times New Roman" w:cs="Times New Roman" w:eastAsia="Times New Roman" w:hAnsi="Times New Roman"/>
          <w:sz w:val="26"/>
          <w:szCs w:val="26"/>
        </w:rPr>
        <w:t xml:space="preserve">Trường hợp người nộp thuế không áp dụng theo mức tỷ suất lợi nhuận thuần quy định tại điểm này thì phải lập Hồ sơ xác định giá giao dịch liên kết theo quy định.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Người nộp thuế thuộc trường hợp được miễn kê khai, miễn lập Hồ sơ xác định giá giao dịch liên kết theo quy định tại khoản 1, khoản 2 Điều này, việc xác định tổng chi phí lãi vay được trừ khi xác định thu nhập chịu thuế thu nhập doanh nghiệp của doanh nghiệp có giao dịch liên kết được thực hiện theo quy định tại khoản 3 Điều 16 Nghị định này.</w:t>
      </w:r>
    </w:p>
    <w:p>
      <w:pPr>
        <w:spacing w:after="120" w:line="360"/>
      </w:pPr>
      <w:r>
        <w:rPr>
          <w:rFonts w:ascii="Times New Roman" w:cs="Times New Roman" w:eastAsia="Times New Roman" w:hAnsi="Times New Roman"/>
          <w:sz w:val="26"/>
          <w:szCs w:val="26"/>
        </w:rPr>
        <w:t xml:space="preserve">Chương IV ĐIỀU KHOẢN THI HÀNH Điều 20.</w:t>
      </w:r>
    </w:p>
    <w:p>
      <w:pPr>
        <w:spacing w:after="120" w:line="360"/>
      </w:pPr>
      <w:r>
        <w:rPr>
          <w:rFonts w:ascii="Times New Roman" w:cs="Times New Roman" w:eastAsia="Times New Roman" w:hAnsi="Times New Roman"/>
          <w:sz w:val="26"/>
          <w:szCs w:val="26"/>
        </w:rPr>
        <w:t xml:space="preserve">Trách nhiệm và quyền hạn của Cơ quan thuế trong quản lý giá giao dịch liên kết 1.</w:t>
      </w:r>
    </w:p>
    <w:p>
      <w:pPr>
        <w:spacing w:after="120" w:line="360"/>
      </w:pPr>
      <w:r>
        <w:rPr>
          <w:rFonts w:ascii="Times New Roman" w:cs="Times New Roman" w:eastAsia="Times New Roman" w:hAnsi="Times New Roman"/>
          <w:sz w:val="26"/>
          <w:szCs w:val="26"/>
        </w:rPr>
        <w:t xml:space="preserve">Áp dụng quản lý rủi ro trong quản lý thuế đối với giá giao dịch liên kết theo quy định của pháp luật thuế.</w:t>
      </w:r>
    </w:p>
    <w:p>
      <w:pPr>
        <w:spacing w:after="120" w:line="360"/>
      </w:pPr>
      <w:r>
        <w:rPr>
          <w:rFonts w:ascii="Times New Roman" w:cs="Times New Roman" w:eastAsia="Times New Roman" w:hAnsi="Times New Roman"/>
          <w:sz w:val="26"/>
          <w:szCs w:val="26"/>
        </w:rPr>
        <w:t xml:space="preserve">a) Quản lý, sử dụng thông tin của người nộp thuế có giao dịch liên kết phục vụ công tác quản lý rủi ro; b) Áp dụng quản lý rủi ro trong việc lập kế hoạch thanh tra, kiểm tra doanh nghiệp có quan hệ liên kết và giao dịch liên kết; c) Quản lý, sử dụng Báo cáo lợi nhuận liên quốc gia của người nộp thuế phục vụ công tác quản lý rủi ro, trao đổi thông tin theo quy định và cam kết của Việt Nam tại Thỏa thuận quốc tế về thuế, không sử dụng để ấn định thuế.</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Cơ quan thuế căn cứ các nguyên tắc phân tích, so sánh, nguyên tắc và phương pháp xác định giá giao dịch liên kết được quy định tại Nghị định này và các thông tin kê khai nghĩa vụ thuế của doanh nghiệp có giao dịch liên kết để thực hiện ấn định thuế trong các trường hợp sau: a) Người nộp thuế vi phạm pháp luật về thuế nhưng thực hiện đầy đủ chế độ kế toán, hóa đơn, chứng từ: Việc ấn định doanh thu, chi phí hoặc thu nhập chịu thuế để xác định nghĩa vụ thuế được thực hiện theo các nguyên tắc phân tích, so sánh, phương pháp xác định giá giao dịch liên kết và cơ sở dữ liệu sử dụng trong quản lý giá giao dịch liên kết quy định tại Nghị định này; b) Các trường hợp khác theo quy định tại khoản 2 Điều 50 Luật Quản lý thuế số 38/2019/QH14 ngày 13 tháng 6 năm 2019; c) Cơ quan thuế có trách nhiệm tạo điều kiện cho người nộp thuế chứng minh, giải trình về số liệu, dữ liệu của đối tượng so sánh độc lập sử dụng trong Hồ sơ xác định giá giao dịch liên kết.</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Cơ quan thuế có quyền ấn định mức giá; tỷ suất lợi nhuận; tỷ lệ phân bổ lợi nhuận; thu nhập chịu thuế hoặc số thuế thu nhập doanh nghiệp phải nộp đối với người nộp thuế không tuân thủ quy định về kê khai, xác định giao dịch liên kết; không cung cấp hoặc cung cấp không đầy đủ thông tin, dữ liệu kê khai xác định giá giao dịch liên kết trong các trường hợp sau: a) Người nộp thuế không kê khai, kê khai không đầy đủ thông tin hoặc không nộp Phụ lục I ban hành kèm theo Nghị định này; b) Người nộp thuế cung cấp không đầy đủ thông tin Hồ sơ xác định giá giao dịch liên kết quy định tại Phụ lục II, Phụ lục III ban hành kèm theo Nghị định này hoặc không xuất trình Hồ sơ xác định giá giao dịch liên kết và các dữ liệu, chứng từ và tài liệu được sử dụng làm căn cứ phân tích, so sánh, xác định giá tại Hồ sơ xác định giá giao dịch liên kết theo yêu cầu của Cơ quan thuế trong thời hạn theo quy định tại Nghị định này.</w:t>
      </w:r>
    </w:p>
    <w:p>
      <w:pPr>
        <w:spacing w:after="120" w:line="360"/>
      </w:pPr>
      <w:r>
        <w:rPr>
          <w:rFonts w:ascii="Times New Roman" w:cs="Times New Roman" w:eastAsia="Times New Roman" w:hAnsi="Times New Roman"/>
          <w:sz w:val="26"/>
          <w:szCs w:val="26"/>
        </w:rPr>
        <w:t xml:space="preserve">Thông tin tại Hồ sơ xác định giá giao dịch liên kết được xác định là trọng yếu nếu thông tin này gây ảnh hưởng đến kết quả phân tích lựa chọn đối tượng so sánh độc lập tương đồng; phương pháp xác định giá giao dịch liên kết hoặc kết quả điều chỉnh mức giá, tỷ suất lợi nhuận, tỷ lệ phân bổ lợi nhuận của người nộp thuế; c) Người nộp thuế sử dụng các thông tin về giao dịch độc lập không trung thực, không đúng thực tế để phân tích, so sánh, kê khai xác định giá giao dịch liên kết hoặc dựa vào các tài liệu, dữ liệu và chứng từ không hợp pháp, không hợp lệ hoặc không nêu rõ nguồn gốc xuất xứ để xác định mức giá, tỷ suất lợi nhuận hoặc tỷ lệ phân bổ lợi nhuận áp dụng cho giao dịch liên kết; d) Người nộp thuế có hành vi vi phạm các quy định về xác định giá giao dịch liên kết tại Điều 19 Nghị định này; đ) Cơ sở dữ liệu sử dụng để ấn định thuế thực hiện theo quy định tại Luật Quản lý thuế số 38/2019/QH14 ngày 13 tháng 6 năm 2019.</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Cơ quan thuế có trách nhiệm bảo mật thông tin do người nộp thuế cung cấp liên quan đến việc xác định giá giao dịch liên kết theo quy định tại Nghị định này.</w:t>
      </w:r>
    </w:p>
    <w:p>
      <w:pPr>
        <w:spacing w:after="120" w:line="360"/>
      </w:pPr>
      <w:r>
        <w:rPr>
          <w:rFonts w:ascii="Times New Roman" w:cs="Times New Roman" w:eastAsia="Times New Roman" w:hAnsi="Times New Roman"/>
          <w:sz w:val="26"/>
          <w:szCs w:val="26"/>
        </w:rPr>
        <w:t xml:space="preserve">Việc cung cấp thông tin cho các cơ quan, tổ chức thực hiện theo quy định tại khoản 5 Điều này.</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Trường hợp qua thanh tra, kiểm tra xác định giá giao dịch liên kết có phát sinh vướng mắc về cơ chế, chính sách liên quan đến các ngành, lĩnh vực chuyên ngành, Cơ quan thuế lấy ý kiến các cơ quan, tổ chức, cá nhân liên quan, cụ thể: a) Cơ quan quản lý chuyên ngành, các tổ chức, hiệp hội chuyên ngành; b) Cơ quan thuế có trách nhiệm cung cấp hồ sơ, thông tin, tài liệu liên quan đến xác định giá giao dịch liên kết cho các cơ quan, tổ chức chuyên ngành được lấy ý kiến.</w:t>
      </w:r>
    </w:p>
    <w:p>
      <w:pPr>
        <w:spacing w:after="120" w:line="360"/>
      </w:pPr>
      <w:r>
        <w:rPr>
          <w:rFonts w:ascii="Times New Roman" w:cs="Times New Roman" w:eastAsia="Times New Roman" w:hAnsi="Times New Roman"/>
          <w:sz w:val="26"/>
          <w:szCs w:val="26"/>
        </w:rPr>
        <w:t xml:space="preserve">Các cơ quan, đơn vị được lấy ý kiến có trách nhiệm bảo mật thông tin theo quy định của pháp luật.</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Cơ quan thuế trao đổi thông tin với người nộp thuế và Cơ quan thuế đối tác theo thủ tục tham vấn trước, trong và sau quá trình thanh tra, kiểm tra giá giao dịch liên kết như sau: a) Trường hợp qua việc áp dụng quản lý rủi ro trong quản lý thuế đối với giá giao dịch liên kết, Cơ quan thuế thấy cần thiết trao đổi thông tin trước với người nộp thuế về Phụ lục I ban hành kèm theo Nghị định này và Hồ sơ xác định giá giao dịch liên kết của người nộp thuế, Cơ quan thuế gửi công văn đề nghị tổ chức tham vấn với người nộp thuế để trao đổi, cung cấp trước các thông tin về Hồ sơ xác định giá giao dịch liên kết của người nộp thuế theo quy định tại Nghị định này; b) Trường hợp Cơ quan thuế cần thực hiện việc liên lạc, trao đổi với Cơ quan thuế đối tác về Báo cáo lợi nhuận liên quốc gia và các thông tin liên quan khác thực hiện theo quy định tại điều khoản về Thủ tục thỏa thuận song phương và trao đổi thông tin tại Hiệp định thuế có liên quan.</w:t>
      </w:r>
    </w:p>
    <w:p>
      <w:pPr>
        <w:spacing w:after="120" w:line="360"/>
      </w:pPr>
      <w:r>
        <w:rPr>
          <w:rFonts w:ascii="Times New Roman" w:cs="Times New Roman" w:eastAsia="Times New Roman" w:hAnsi="Times New Roman"/>
          <w:sz w:val="26"/>
          <w:szCs w:val="26"/>
        </w:rPr>
        <w:t xml:space="preserve">Trong trường hợp cần thiết, Cơ quan thuế thông báo bằng văn bản cho người nộp thuế về việc tạm dừng thanh tra, kiểm tra để tiến hành trao đổi thông tin với Cơ quan thuế đối tác theo quy định của pháp luật thuế.</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Cơ quan thuế thực hiện cơ chế trao đổi thông tin tự động theo cam kết quốc tế của Việt Nam tại các điều ước quốc tế về thuế.</w:t>
      </w:r>
    </w:p>
    <w:p>
      <w:pPr>
        <w:spacing w:after="120" w:line="360"/>
      </w:pPr>
      <w:r>
        <w:rPr>
          <w:rFonts w:ascii="Times New Roman" w:cs="Times New Roman" w:eastAsia="Times New Roman" w:hAnsi="Times New Roman"/>
          <w:sz w:val="26"/>
          <w:szCs w:val="26"/>
        </w:rPr>
        <w:t xml:space="preserve">Định kỳ, hàng năm, Cơ quan thuế thông báo danh sách các Cơ quan thuế nước ngoài thực hiện được trao đổi thông tin tự động đối với Báo cáo lợi nhuận liên quốc gia của người nộp thuế trên cổng thông tin điện tử của ngành thuế.</w:t>
      </w:r>
    </w:p>
    <w:p>
      <w:pPr>
        <w:spacing w:after="120" w:line="360"/>
      </w:pPr>
      <w:r>
        <w:rPr>
          <w:rFonts w:ascii="Times New Roman" w:cs="Times New Roman" w:eastAsia="Times New Roman" w:hAnsi="Times New Roman"/>
          <w:sz w:val="26"/>
          <w:szCs w:val="26"/>
        </w:rPr>
        <w:t xml:space="preserve">8.</w:t>
      </w:r>
    </w:p>
    <w:p>
      <w:pPr>
        <w:spacing w:after="120" w:line="360"/>
      </w:pPr>
      <w:r>
        <w:rPr>
          <w:rFonts w:ascii="Times New Roman" w:cs="Times New Roman" w:eastAsia="Times New Roman" w:hAnsi="Times New Roman"/>
          <w:sz w:val="26"/>
          <w:szCs w:val="26"/>
        </w:rPr>
        <w:t xml:space="preserve">Cơ quan thuế thực hiện điều chỉnh việc xác định giá giao dịch liên kết theo thỏa thuận song phương quy định tại các Hiệp định thuế có liên quan.</w:t>
      </w:r>
    </w:p>
    <w:p>
      <w:pPr>
        <w:spacing w:after="120" w:line="360"/>
      </w:pPr>
      <w:r>
        <w:rPr>
          <w:rFonts w:ascii="Times New Roman" w:cs="Times New Roman" w:eastAsia="Times New Roman" w:hAnsi="Times New Roman"/>
          <w:sz w:val="26"/>
          <w:szCs w:val="26"/>
        </w:rPr>
        <w:t xml:space="preserve">9.</w:t>
      </w:r>
    </w:p>
    <w:p>
      <w:pPr>
        <w:spacing w:after="120" w:line="360"/>
      </w:pPr>
      <w:r>
        <w:rPr>
          <w:rFonts w:ascii="Times New Roman" w:cs="Times New Roman" w:eastAsia="Times New Roman" w:hAnsi="Times New Roman"/>
          <w:sz w:val="26"/>
          <w:szCs w:val="26"/>
        </w:rPr>
        <w:t xml:space="preserve">Trường hợp Cơ quan thuế ký Thỏa thuận trước về phương pháp xác định giá tính thuế với người nộp thuế, Cơ quan thuế có trách nhiệm: a) Thực hiện quản lý, kiểm tra, thanh tra các giao dịch liên kết không thuộc phạm vi áp dụng Thỏa thuận trước về phương pháp xác định giá tính thuế theo nguyên tắc quản lý rủi ro; b) Quản lý, kiểm tra, thanh tra việc tuân thủ Thỏa thuận trước về phương pháp xác định giá tính thuế đã ký kết của người nộp thuế theo quy định.</w:t>
      </w:r>
    </w:p>
    <w:p>
      <w:pPr>
        <w:spacing w:after="120" w:line="360"/>
      </w:pPr>
      <w:r>
        <w:rPr>
          <w:rFonts w:ascii="Times New Roman" w:cs="Times New Roman" w:eastAsia="Times New Roman" w:hAnsi="Times New Roman"/>
          <w:sz w:val="26"/>
          <w:szCs w:val="26"/>
        </w:rPr>
        <w:t xml:space="preserve">Điều 21.</w:t>
      </w:r>
    </w:p>
    <w:p>
      <w:pPr>
        <w:spacing w:after="120" w:line="360"/>
      </w:pPr>
      <w:r>
        <w:rPr>
          <w:rFonts w:ascii="Times New Roman" w:cs="Times New Roman" w:eastAsia="Times New Roman" w:hAnsi="Times New Roman"/>
          <w:sz w:val="26"/>
          <w:szCs w:val="26"/>
        </w:rPr>
        <w:t xml:space="preserve">Trách nhiệm của các bộ, cơ quan ngang bộ và Ủy ban nhân dân các tỉnh, thành phố trực thuộc trung ương 1.</w:t>
      </w:r>
    </w:p>
    <w:p>
      <w:pPr>
        <w:spacing w:after="120" w:line="360"/>
      </w:pPr>
      <w:r>
        <w:rPr>
          <w:rFonts w:ascii="Times New Roman" w:cs="Times New Roman" w:eastAsia="Times New Roman" w:hAnsi="Times New Roman"/>
          <w:sz w:val="26"/>
          <w:szCs w:val="26"/>
        </w:rPr>
        <w:t xml:space="preserve">Bộ Tài chính trong phạm vi nhiệm vụ, quyền hạn của mình có trách nhiệm: a) Chịu trách nhiệm thực hiện quản lý nhà nước về thuế đối với doanh nghiệp có quan hệ liên kết và giao dịch liên kết theo quy định tại Nghị định này; b) Chủ trì, phối hợp với Bộ Thông tin và Truyền thông thực hiện công tác thông tin, tuyên truyền về quản lý nhà nước về thuế đối với doanh nghiệp có giao dịch liên kết; c) Thực hiện kiểm tra, thanh tra việc thực hiện các quy định về thuế đối với doanh nghiệp có giao dịch liên kết theo quy định tại Nghị định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Ngân hàng Nhà nước trong phạm vi nhiệm vụ, quyền hạn của mình có trách nhiệm: Phối hợp cung cấp thông tin, số liệu về các khoản vay, trả nợ nước ngoài của từng doanh nghiệp cụ thể có giao dịch liên kết trên cơ sở danh sách do Cơ quan thuế yêu cầu, bao gồm dữ liệu về kim ngạch khoản vay, lãi suất, kỳ trả lãi, trả gốc, thực tế rút vốn, trả nợ (gốc, lãi) và các thông tin liên quan khác (nếu có).</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Bộ Kế hoạch và Đầu tư trong phạm vi nhiệm vụ, quyền hạn của mình có trách nhiệm: Phối hợp cung cấp dữ liệu đăng ký ngành nghề kinh doanh của doanh nghiệp; cơ sở dữ liệu về cơ cấu vốn đầu tư tại thời điểm cấp phép và các thời điểm điều chỉnh, sửa đổi giấy chứng nhận đăng ký đầu tư, giấy chứng nhận đăng ký doanh nghiệp và các thông tin liên quan đối với các dự án đầu tư khi cơ quan thuế thực hiện thanh tra, kiểm tra đối với doanh nghiệp có giao dịch liên kết.</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Bộ Khoa học và Công nghệ, Bộ Nông nghiệp và Phát triển nông thôn trong phạm vi nhiệm vụ, quyền hạn của mình có trách nhiệm: Phối hợp cung cấp cơ sở dữ liệu liên quan đến các hợp đồng chuyển giao công nghệ; hợp đồng chuyển giao quyền sở hữu công nghiệp; chuyển giao quyền đối với giống cây trồng; hồ sơ đăng ký quyền sở hữu trí tuệ sau khi được xác lập quyền sở hữu công nghiệp, quyền đối với giống cây trồng và cung cấp thông tin khi được lấy ý kiến cho Cơ quan thuế để thực hiện công tác quản lý thuế đối với doanh nghiệp có giao dịch liên kết.</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Bộ Thông tin và Truyền thông trong phạm vi nhiệm vụ, quyền hạn của mình có trách nhiệm: Phối hợp cung cấp cơ sở dữ liệu về các doanh nghiệp được cấp phép kinh doanh trong lĩnh vực thuộc phạm vi quản lý và thông tin về giao dịch liên kết trong lĩnh vực kinh tế số theo đề nghị của Bộ Tài chính.</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Bộ Công Thương trong phạm vi nhiệm vụ, quyền hạn của mình có trách nhiệm: Phối hợp cung cấp cơ sở dữ liệu về giá giao dịch của các hàng hóa trên các sở giao dịch hàng hóa trong nước và thông tin theo chức năng nhiệm vụ thuộc phạm vi quản lý của Bộ Công Thương, theo yêu cầu quản lý thuế đối với doanh nghiệp có giao dịch liên kết của Cơ quan thuế.</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Ủy ban Quản lý vốn Nhà nước tại doanh nghiệp trong phạm vi nhiệm vụ, quyền hạn của mình có trách nhiệm: Phối hợp đôn đốc các tập đoàn, tổng công ty, nhóm doanh nghiệp liên kết thuộc phạm vi quản lý cung cấp thông tin theo quy định của Cơ quan thuế.</w:t>
      </w:r>
    </w:p>
    <w:p>
      <w:pPr>
        <w:spacing w:after="120" w:line="360"/>
      </w:pPr>
      <w:r>
        <w:rPr>
          <w:rFonts w:ascii="Times New Roman" w:cs="Times New Roman" w:eastAsia="Times New Roman" w:hAnsi="Times New Roman"/>
          <w:sz w:val="26"/>
          <w:szCs w:val="26"/>
        </w:rPr>
        <w:t xml:space="preserve">8.</w:t>
      </w:r>
    </w:p>
    <w:p>
      <w:pPr>
        <w:spacing w:after="120" w:line="360"/>
      </w:pPr>
      <w:r>
        <w:rPr>
          <w:rFonts w:ascii="Times New Roman" w:cs="Times New Roman" w:eastAsia="Times New Roman" w:hAnsi="Times New Roman"/>
          <w:sz w:val="26"/>
          <w:szCs w:val="26"/>
        </w:rPr>
        <w:t xml:space="preserve">Ủy ban nhân dân các tỉnh, thành phố trực thuộc trung ương trong phạm vi nhiệm vụ, quyền hạn của mình có trách nhiệm: Chỉ đạo Sở Kế hoạch và Đầu tư, Sở Tài chính và các sở, ban, ngành xây dựng cơ sở dữ liệu thuộc lĩnh vực quản lý chuyên ngành phục vụ công tác quản lý thuế đối với doanh nghiệp có giao dịch liên kết.</w:t>
      </w:r>
    </w:p>
    <w:p>
      <w:pPr>
        <w:spacing w:after="120" w:line="360"/>
      </w:pPr>
      <w:r>
        <w:rPr>
          <w:rFonts w:ascii="Times New Roman" w:cs="Times New Roman" w:eastAsia="Times New Roman" w:hAnsi="Times New Roman"/>
          <w:sz w:val="26"/>
          <w:szCs w:val="26"/>
        </w:rPr>
        <w:t xml:space="preserve">9.</w:t>
      </w:r>
    </w:p>
    <w:p>
      <w:pPr>
        <w:spacing w:after="120" w:line="360"/>
      </w:pPr>
      <w:r>
        <w:rPr>
          <w:rFonts w:ascii="Times New Roman" w:cs="Times New Roman" w:eastAsia="Times New Roman" w:hAnsi="Times New Roman"/>
          <w:sz w:val="26"/>
          <w:szCs w:val="26"/>
        </w:rPr>
        <w:t xml:space="preserve">Các bộ, ngành trong phạm vi nhiệm vụ, quyền hạn của mình có trách nhiệm phối hợp Bộ Tài chính triển khai thực hiện Nghị định này.</w:t>
      </w:r>
    </w:p>
    <w:p>
      <w:pPr>
        <w:spacing w:after="120" w:line="360"/>
      </w:pPr>
      <w:r>
        <w:rPr>
          <w:rFonts w:ascii="Times New Roman" w:cs="Times New Roman" w:eastAsia="Times New Roman" w:hAnsi="Times New Roman"/>
          <w:sz w:val="26"/>
          <w:szCs w:val="26"/>
        </w:rPr>
        <w:t xml:space="preserve">Điều 22.</w:t>
      </w:r>
    </w:p>
    <w:p>
      <w:pPr>
        <w:spacing w:after="120" w:line="360"/>
      </w:pPr>
      <w:r>
        <w:rPr>
          <w:rFonts w:ascii="Times New Roman" w:cs="Times New Roman" w:eastAsia="Times New Roman" w:hAnsi="Times New Roman"/>
          <w:sz w:val="26"/>
          <w:szCs w:val="26"/>
        </w:rPr>
        <w:t xml:space="preserve">Hiệu lực thi hành 1.</w:t>
      </w:r>
    </w:p>
    <w:p>
      <w:pPr>
        <w:spacing w:after="120" w:line="360"/>
      </w:pPr>
      <w:r>
        <w:rPr>
          <w:rFonts w:ascii="Times New Roman" w:cs="Times New Roman" w:eastAsia="Times New Roman" w:hAnsi="Times New Roman"/>
          <w:sz w:val="26"/>
          <w:szCs w:val="26"/>
        </w:rPr>
        <w:t xml:space="preserve">Nghị định này có hiệu lực thi hành từ ngày 20 tháng 12 năm 2020 và áp dụng từ kỳ tính thuế thu nhập doanh nghiệp năm 2020.</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Nghị định số 20/2017/NĐ-CP ngày 24 tháng 02 năm 2017 và Nghị định số 68/2020/NĐ-CP ngày 24 tháng 6 năm 2020 của Chính phủ quy định về quản lý thuế đối với doanh nghiệp có giao dịch liên kết hết hiệu lực kể từ ngày Nghị định này có hiệu lực thi hành.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Kê khai, quyết toán thuế thu nhập doanh nghiệp năm 2017 và năm 2018: a) Người nộp thuế thuộc trường hợp khai bổ sung hồ sơ khai quyết toán thuế thu nhập doanh nghiệp năm 2017, năm 2018 theo quy định tại khoản 2 Điều 2 Nghị định số 68/2020/NĐ-CP ngày 24 tháng 6 năm 2020 của Chính phủ nhưng chưa thực hiện kê khai bổ sung hồ sơ quyết toán thuế thu nhập doanh nghiệp được tiếp tục thực hiện đến trước ngày 01 tháng 01 năm 2021; b) Người nộp thuế đã được cơ quan thuế hoặc cơ quan nhà nước có thẩm quyền thực hiện thanh tra, kiểm tra và đã có kết luận thanh tra, kiểm tra, quyết định xử lý đối với kỳ tính thuế năm 2017, năm 2018 nhưng thuộc trường hợp được xác định lại số thuế phải nộp theo điểm c khoản 2 Điều 2 Nghị định số 68/2020/NĐ-CP ngày 24 tháng 6 năm 2020 nhưng đến thời điểm Nghị định này có hiệu lực thi hành chưa gửi đề nghị cho cơ quan thuế thì người nộp thuế có quyền đề nghị cơ quan thuế quản lý trực tiếp xác định lại số thuế phải nộp; c) Trường hợp người nộp thuế có số tiền thuế thu nhập doanh nghiệp, tiền chậm nộp đã nộp ngân sách nhà nước của năm 2017, năm 2018 lớn hơn số tiền thuế thu nhập doanh nghiệp, tiền chậm nộp đã xác định lại thì phần chênh lệch được bù trừ vào số thuế thu nhập doanh nghiệp từ năm 2020 đến hết năm 2024.</w:t>
      </w:r>
    </w:p>
    <w:p>
      <w:pPr>
        <w:spacing w:after="120" w:line="360"/>
      </w:pPr>
      <w:r>
        <w:rPr>
          <w:rFonts w:ascii="Times New Roman" w:cs="Times New Roman" w:eastAsia="Times New Roman" w:hAnsi="Times New Roman"/>
          <w:sz w:val="26"/>
          <w:szCs w:val="26"/>
        </w:rPr>
        <w:t xml:space="preserve">Kết thúc thời hạn trên, không xử lý số thuế còn lại chưa bù trừ hết.</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Đối với trường hợp được chuyển chi phí lãi vay sang kỳ tính thuế tiếp theo khi quyết toán thuế thu nhập doanh nghiệp năm 2019 theo quy định tại Nghị định số 68/2020/NĐ-CP, thời gian chuyển chi phí lãi vay tính liên tục không quá 05 năm kể từ kỳ tính thuế thu nhập doanh nghiệp năm 2020.</w:t>
      </w:r>
    </w:p>
    <w:p>
      <w:pPr>
        <w:spacing w:after="120" w:line="360"/>
      </w:pPr>
      <w:r>
        <w:rPr>
          <w:rFonts w:ascii="Times New Roman" w:cs="Times New Roman" w:eastAsia="Times New Roman" w:hAnsi="Times New Roman"/>
          <w:sz w:val="26"/>
          <w:szCs w:val="26"/>
        </w:rPr>
        <w:t xml:space="preserve">Trường hợp sau 05 năm không chuyển hết thì phần chi phí lãi vay còn lại không được chuyển sang các kỳ tính thuế tiếp theo.</w:t>
      </w:r>
    </w:p>
    <w:p>
      <w:pPr>
        <w:spacing w:after="120" w:line="360"/>
      </w:pPr>
      <w:r>
        <w:rPr>
          <w:rFonts w:ascii="Times New Roman" w:cs="Times New Roman" w:eastAsia="Times New Roman" w:hAnsi="Times New Roman"/>
          <w:sz w:val="26"/>
          <w:szCs w:val="26"/>
        </w:rPr>
        <w:t xml:space="preserve">Điều 23.</w:t>
      </w:r>
    </w:p>
    <w:p>
      <w:pPr>
        <w:spacing w:after="120" w:line="360"/>
      </w:pPr>
      <w:r>
        <w:rPr>
          <w:rFonts w:ascii="Times New Roman" w:cs="Times New Roman" w:eastAsia="Times New Roman" w:hAnsi="Times New Roman"/>
          <w:sz w:val="26"/>
          <w:szCs w:val="26"/>
        </w:rPr>
        <w:t xml:space="preserve">Trách nhiệm thi hành 1.</w:t>
      </w:r>
    </w:p>
    <w:p>
      <w:pPr>
        <w:spacing w:after="120" w:line="360"/>
      </w:pPr>
      <w:r>
        <w:rPr>
          <w:rFonts w:ascii="Times New Roman" w:cs="Times New Roman" w:eastAsia="Times New Roman" w:hAnsi="Times New Roman"/>
          <w:sz w:val="26"/>
          <w:szCs w:val="26"/>
        </w:rPr>
        <w:t xml:space="preserve">Bộ Tài chính chủ trì, phối hợp với các bộ, ngành liên quan và Ủy ban nhân dân các tỉnh, thành phố trực thuộc trung ương triển khai thực hiện Nghị định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Các Bộ trưởng, Thủ trưởng cơ quan ngang bộ, Thủ trưởng cơ quan thuộc Chính phủ, Chủ tịch Ủy ban nhân dân tỉnh, thành phố trực thuộc trung ương và các tổ chức, cá nhân liên quan chịu trách nhiệm thi hành Nghị định này./.</w:t>
      </w:r>
    </w:p>
    <w:p>
      <w:pPr>
        <w:spacing w:after="120" w:line="360"/>
      </w:pPr>
      <w:r>
        <w:rPr>
          <w:rFonts w:ascii="Times New Roman" w:cs="Times New Roman" w:eastAsia="Times New Roman" w:hAnsi="Times New Roman"/>
          <w:sz w:val="26"/>
          <w:szCs w:val="26"/>
        </w:rPr>
        <w:t xml:space="preserve">Nơi nhận: - Ban Bí thư Trung ương Đảng; - Thủ tướng, các Phó Thủ tướng Chính phủ; - Các bộ, cơ quan ngang bộ, cơ quan thuộc Chính phủ; - HĐND, UBND các tỉnh, thành phố trực thuộc trung ương; - Văn phòng Trung ương và các Ban của Đảng; - Văn phòng Tổng Bí thư; - Văn phòng Chủ tịch nước; - Hội đồng Dân tộc và các Ủy ban của Quốc hội; - Văn phòng Quốc hội; - Tòa án nhân dân tối cao; - Viện kiểm sát nhân dân tối cao; - Kiểm toán Nhà nước; - Ủy ban Giám sát tài chính Quốc gia; - Ngân hàng Chính sách xã hội; - Ngân hàng Phát triển Việt Nam; - Ủy ban Trung ương Mặt trận Tổ quốc Việt Nam; - Cơ quan trung ương của các đoàn thể; - VPCP: BTCN, các PCN, Trợ lý TTg, TGĐ Cổng TTĐT, các Vụ, Cục, đơn vị trực thuộc, Công báo; - Lưu: VT, KTTH (2b).</w:t>
      </w:r>
    </w:p>
    <w:p>
      <w:pPr>
        <w:spacing w:after="120" w:line="360"/>
      </w:pPr>
      <w:r>
        <w:rPr>
          <w:rFonts w:ascii="Times New Roman" w:cs="Times New Roman" w:eastAsia="Times New Roman" w:hAnsi="Times New Roman"/>
          <w:sz w:val="26"/>
          <w:szCs w:val="26"/>
        </w:rPr>
        <w:t xml:space="preserve">TM.</w:t>
      </w:r>
    </w:p>
    <w:p>
      <w:pPr>
        <w:spacing w:after="120" w:line="360"/>
      </w:pPr>
      <w:r>
        <w:rPr>
          <w:rFonts w:ascii="Times New Roman" w:cs="Times New Roman" w:eastAsia="Times New Roman" w:hAnsi="Times New Roman"/>
          <w:sz w:val="26"/>
          <w:szCs w:val="26"/>
        </w:rPr>
        <w:t xml:space="preserve">CHÍNH PHỦ THỦ TƯỚNG Nguyễn Xuân Phúc PHỤ LỤC I (Kèm theo Nghị định số 132/2020/NĐ-CP ngày 05 tháng 11 năm 2020 của Chính phủ) THÔNG TIN VỀ QUAN HỆ LIÊN KẾT VÀ GIAO DỊCH LIÊN KẾT (Kèm theo Tờ khai quyết toán thuế thu nhập doanh nghiệp) Kỳ tính thuế: Từ ………..</w:t>
      </w:r>
    </w:p>
    <w:p>
      <w:pPr>
        <w:spacing w:after="120" w:line="360"/>
      </w:pPr>
      <w:r>
        <w:rPr>
          <w:rFonts w:ascii="Times New Roman" w:cs="Times New Roman" w:eastAsia="Times New Roman" w:hAnsi="Times New Roman"/>
          <w:sz w:val="26"/>
          <w:szCs w:val="26"/>
        </w:rPr>
        <w:t xml:space="preserve">đến …………….</w:t>
      </w:r>
    </w:p>
    <w:p>
      <w:pPr>
        <w:spacing w:after="120" w:line="360"/>
      </w:pPr>
      <w:r>
        <w:rPr>
          <w:rFonts w:ascii="Times New Roman" w:cs="Times New Roman" w:eastAsia="Times New Roman" w:hAnsi="Times New Roman"/>
          <w:sz w:val="26"/>
          <w:szCs w:val="26"/>
        </w:rPr>
        <w:t xml:space="preserve">[01] Tên người nộp thuế ………………………………………………………………………….</w:t>
      </w:r>
    </w:p>
    <w:p>
      <w:pPr>
        <w:spacing w:after="120" w:line="360"/>
      </w:pPr>
      <w:r>
        <w:rPr>
          <w:rFonts w:ascii="Times New Roman" w:cs="Times New Roman" w:eastAsia="Times New Roman" w:hAnsi="Times New Roman"/>
          <w:sz w:val="26"/>
          <w:szCs w:val="26"/>
        </w:rPr>
        <w:t xml:space="preserve">[02] Mã số thuế: [03] Địa chỉ: ……………………………….………………………………………………………..</w:t>
      </w:r>
    </w:p>
    <w:p>
      <w:pPr>
        <w:spacing w:after="120" w:line="360"/>
      </w:pPr>
      <w:r>
        <w:rPr>
          <w:rFonts w:ascii="Times New Roman" w:cs="Times New Roman" w:eastAsia="Times New Roman" w:hAnsi="Times New Roman"/>
          <w:sz w:val="26"/>
          <w:szCs w:val="26"/>
        </w:rPr>
        <w:t xml:space="preserve">[04] Quận/huyện: ……………………..</w:t>
      </w:r>
    </w:p>
    <w:p>
      <w:pPr>
        <w:spacing w:after="120" w:line="360"/>
      </w:pPr>
      <w:r>
        <w:rPr>
          <w:rFonts w:ascii="Times New Roman" w:cs="Times New Roman" w:eastAsia="Times New Roman" w:hAnsi="Times New Roman"/>
          <w:sz w:val="26"/>
          <w:szCs w:val="26"/>
        </w:rPr>
        <w:t xml:space="preserve">[05] Tỉnh/thành phố: …………………………………..</w:t>
      </w:r>
    </w:p>
    <w:p>
      <w:pPr>
        <w:spacing w:after="120" w:line="360"/>
      </w:pPr>
      <w:r>
        <w:rPr>
          <w:rFonts w:ascii="Times New Roman" w:cs="Times New Roman" w:eastAsia="Times New Roman" w:hAnsi="Times New Roman"/>
          <w:sz w:val="26"/>
          <w:szCs w:val="26"/>
        </w:rPr>
        <w:t xml:space="preserve">[06] Điện thoại: ………………………..</w:t>
      </w:r>
    </w:p>
    <w:p>
      <w:pPr>
        <w:spacing w:after="120" w:line="360"/>
      </w:pPr>
      <w:r>
        <w:rPr>
          <w:rFonts w:ascii="Times New Roman" w:cs="Times New Roman" w:eastAsia="Times New Roman" w:hAnsi="Times New Roman"/>
          <w:sz w:val="26"/>
          <w:szCs w:val="26"/>
        </w:rPr>
        <w:t xml:space="preserve">[07] Fax: ……………..</w:t>
      </w:r>
    </w:p>
    <w:p>
      <w:pPr>
        <w:spacing w:after="120" w:line="360"/>
      </w:pPr>
      <w:r>
        <w:rPr>
          <w:rFonts w:ascii="Times New Roman" w:cs="Times New Roman" w:eastAsia="Times New Roman" w:hAnsi="Times New Roman"/>
          <w:sz w:val="26"/>
          <w:szCs w:val="26"/>
        </w:rPr>
        <w:t xml:space="preserve">[08] Email: …………………..</w:t>
      </w:r>
    </w:p>
    <w:p>
      <w:pPr>
        <w:spacing w:after="120" w:line="360"/>
      </w:pPr>
      <w:r>
        <w:rPr>
          <w:rFonts w:ascii="Times New Roman" w:cs="Times New Roman" w:eastAsia="Times New Roman" w:hAnsi="Times New Roman"/>
          <w:sz w:val="26"/>
          <w:szCs w:val="26"/>
        </w:rPr>
        <w:t xml:space="preserve">[09] Tên đại lý thuế (nếu có): ……………………………………………………………………..</w:t>
      </w:r>
    </w:p>
    <w:p>
      <w:pPr>
        <w:spacing w:after="120" w:line="360"/>
      </w:pPr>
      <w:r>
        <w:rPr>
          <w:rFonts w:ascii="Times New Roman" w:cs="Times New Roman" w:eastAsia="Times New Roman" w:hAnsi="Times New Roman"/>
          <w:sz w:val="26"/>
          <w:szCs w:val="26"/>
        </w:rPr>
        <w:t xml:space="preserve">[10] Mã số thuế: MỤC I.</w:t>
      </w:r>
    </w:p>
    <w:p>
      <w:pPr>
        <w:spacing w:after="120" w:line="360"/>
      </w:pPr>
      <w:r>
        <w:rPr>
          <w:rFonts w:ascii="Times New Roman" w:cs="Times New Roman" w:eastAsia="Times New Roman" w:hAnsi="Times New Roman"/>
          <w:sz w:val="26"/>
          <w:szCs w:val="26"/>
        </w:rPr>
        <w:t xml:space="preserve">THÔNG TIN VỀ CÁC BÊN LIÊN KẾT STT Tên bên liên kết Quốc gia Mã số thuế Hình thức quan hệ liên kết 1 (1) (2) (3) (4) (5) A B C D Đ E G H I K L 1 2 3 ...</w:t>
      </w:r>
    </w:p>
    <w:p>
      <w:pPr>
        <w:spacing w:after="120" w:line="360"/>
      </w:pPr>
      <w:r>
        <w:rPr>
          <w:rFonts w:ascii="Times New Roman" w:cs="Times New Roman" w:eastAsia="Times New Roman" w:hAnsi="Times New Roman"/>
          <w:sz w:val="26"/>
          <w:szCs w:val="26"/>
        </w:rPr>
        <w:t xml:space="preserve">MỤC II.</w:t>
      </w:r>
    </w:p>
    <w:p>
      <w:pPr>
        <w:spacing w:after="120" w:line="360"/>
      </w:pPr>
      <w:r>
        <w:rPr>
          <w:rFonts w:ascii="Times New Roman" w:cs="Times New Roman" w:eastAsia="Times New Roman" w:hAnsi="Times New Roman"/>
          <w:sz w:val="26"/>
          <w:szCs w:val="26"/>
        </w:rPr>
        <w:t xml:space="preserve">CÁC TRƯỜNG HỢP ĐƯỢC MIỄN KÊ KHAI, MIỄN LẬP HỒ SƠ XÁC ĐỊNH GIÁ GIAO DỊCH LIÊN KẾT STT Trường hợp miễn trừ Thuộc diện miễn trừ 2 (1) (2) (3) 1 Miễn kê khai xác định giá giao dịch liên kết tại mục III, mục IV và được miễn lập Hồ sơ xác định giá giao dịch liên kết Người nộp thuế chỉ phát sinh giao dịch với các bên liên kết là đối tượng nộp thuế thu nhập doanh nghiệp tại Việt Nam, áp dụng cùng mức thuế suất thuế thu nhập doanh nghiệp với người nộp thuế và không bên nào được hưởng ưu đãi thuế thu nhập doanh nghiệp trong kỳ tính thuế 2 Miễn lập Hồ sơ xác định giá giao dịch liên kết a Người nộp thuế có phát sinh giao dịch liên kết nhưng tổng doanh thu phát sinh của kỳ tính thuế dưới 50 tỷ đồng và tổng giá trị tất cả các giao dịch liên kết phát sinh trong kỳ tính thuế dưới 30 tỷ đồng b Người nộp thuế đã ký kết Thỏa thuận trước về phương pháp xác định giá tính thuế thực hiện nộp Báo cáo thường niên theo quy định pháp luật về Thỏa thuận trước về phương pháp xác định giá tính thuế c Người nộp thuế thực hiện kinh doanh với chức năng đơn giản, không phát sinh doanh thu, chi phí từ hoạt động khai thác, sử dụng tài sản vô hình, có doanh thu dưới 200 tỷ đồng, áp dụng tỷ suất lợi nhuận thuần trước lãi vay và thuế thu nhập doanh nghiệp trên doanh thu, bao gồm các lĩnh vực như sau: - Phân phối: Từ 5% trở lên - Sản xuất: Từ 10% trở lên - Gia công: Từ 15% trở lên MỤC III.</w:t>
      </w:r>
    </w:p>
    <w:p>
      <w:pPr>
        <w:spacing w:after="120" w:line="360"/>
      </w:pPr>
      <w:r>
        <w:rPr>
          <w:rFonts w:ascii="Times New Roman" w:cs="Times New Roman" w:eastAsia="Times New Roman" w:hAnsi="Times New Roman"/>
          <w:sz w:val="26"/>
          <w:szCs w:val="26"/>
        </w:rPr>
        <w:t xml:space="preserve">THÔNG TIN XÁC ĐỊNH GIÁ GIAO DỊCH LIÊN KẾT Đơn vị tiền: Đồng Việt Nam STT Nội dung Giá trị bán ra cho bên liên kết Giá trị mua vào từ bên liên kết Lợi nhuận tăng do xác định lại theo giá giao dịch độc lập Thu hộ, chi hộ, phân bổ cơ sở thường trú 3 Giao dịch thuộc phạm vi áp dụng APA 4 Giá trị ghi nhận của giao dịch liên kết Giá trị xác định lại theo giá giao dịch độc lập Chênh lệch Phương pháp xác định giá Giá trị ghi nhận của giao dịch liên kết Giá trị xác định lại theo giá giao dịch độc lập Chênh lệch Phương pháp xác định giá (1) (2) (3) (4) (5)=(4)-(3) (6) (7) (8) (9)=(8)-(7) (10) (11)=(5)+(9) (12) (13) I Tổng giá trị giao dịch phát sinh từ hoạt động kinh doanh II Tổng giá trị giao dịch phát sinh từ hoạt động liên kết 1 Hàng hóa 1.1 Hàng hóa hình thành tài sản cố định a Bên liên kết A b Bên liên kết B ...</w:t>
      </w:r>
    </w:p>
    <w:p>
      <w:pPr>
        <w:spacing w:after="120" w:line="360"/>
      </w:pPr>
      <w:r>
        <w:rPr>
          <w:rFonts w:ascii="Times New Roman" w:cs="Times New Roman" w:eastAsia="Times New Roman" w:hAnsi="Times New Roman"/>
          <w:sz w:val="26"/>
          <w:szCs w:val="26"/>
        </w:rPr>
        <w:t xml:space="preserve">1.2 Hàng hóa không hình thành tài sản cố định a Bên liên kết A b Bên liên kết B ...</w:t>
      </w:r>
    </w:p>
    <w:p>
      <w:pPr>
        <w:spacing w:after="120" w:line="360"/>
      </w:pPr>
      <w:r>
        <w:rPr>
          <w:rFonts w:ascii="Times New Roman" w:cs="Times New Roman" w:eastAsia="Times New Roman" w:hAnsi="Times New Roman"/>
          <w:sz w:val="26"/>
          <w:szCs w:val="26"/>
        </w:rPr>
        <w:t xml:space="preserve">2 Dịch vụ 2.1 Nghiên cứu, phát triển a Bên liên kết A b Bên liên kết B ...</w:t>
      </w:r>
    </w:p>
    <w:p>
      <w:pPr>
        <w:spacing w:after="120" w:line="360"/>
      </w:pPr>
      <w:r>
        <w:rPr>
          <w:rFonts w:ascii="Times New Roman" w:cs="Times New Roman" w:eastAsia="Times New Roman" w:hAnsi="Times New Roman"/>
          <w:sz w:val="26"/>
          <w:szCs w:val="26"/>
        </w:rPr>
        <w:t xml:space="preserve">2.2 Quảng cáo, tiếp thị a Bên liên kết A b Bên liên kết B ...</w:t>
      </w:r>
    </w:p>
    <w:p>
      <w:pPr>
        <w:spacing w:after="120" w:line="360"/>
      </w:pPr>
      <w:r>
        <w:rPr>
          <w:rFonts w:ascii="Times New Roman" w:cs="Times New Roman" w:eastAsia="Times New Roman" w:hAnsi="Times New Roman"/>
          <w:sz w:val="26"/>
          <w:szCs w:val="26"/>
        </w:rPr>
        <w:t xml:space="preserve">2.3 Quản lý kinh doanh và tư vấn, đào tạo a Bên liên kết A b Bên liên kết B ...</w:t>
      </w:r>
    </w:p>
    <w:p>
      <w:pPr>
        <w:spacing w:after="120" w:line="360"/>
      </w:pPr>
      <w:r>
        <w:rPr>
          <w:rFonts w:ascii="Times New Roman" w:cs="Times New Roman" w:eastAsia="Times New Roman" w:hAnsi="Times New Roman"/>
          <w:sz w:val="26"/>
          <w:szCs w:val="26"/>
        </w:rPr>
        <w:t xml:space="preserve">2.4 Hoạt động tài chính 2.4.1 Phí bản quyền và các khoản tương tự A Bên liên kết A B Bên liên kết B ...</w:t>
      </w:r>
    </w:p>
    <w:p>
      <w:pPr>
        <w:spacing w:after="120" w:line="360"/>
      </w:pPr>
      <w:r>
        <w:rPr>
          <w:rFonts w:ascii="Times New Roman" w:cs="Times New Roman" w:eastAsia="Times New Roman" w:hAnsi="Times New Roman"/>
          <w:sz w:val="26"/>
          <w:szCs w:val="26"/>
        </w:rPr>
        <w:t xml:space="preserve">2.4.2 Lãi vay A Bên liên kết A B Bên liên kết B ...</w:t>
      </w:r>
    </w:p>
    <w:p>
      <w:pPr>
        <w:spacing w:after="120" w:line="360"/>
      </w:pPr>
      <w:r>
        <w:rPr>
          <w:rFonts w:ascii="Times New Roman" w:cs="Times New Roman" w:eastAsia="Times New Roman" w:hAnsi="Times New Roman"/>
          <w:sz w:val="26"/>
          <w:szCs w:val="26"/>
        </w:rPr>
        <w:t xml:space="preserve">2.5 Dịch vụ khác A Bên liên kết A B Bên liên kết B ...</w:t>
      </w:r>
    </w:p>
    <w:p>
      <w:pPr>
        <w:spacing w:after="120" w:line="360"/>
      </w:pPr>
      <w:r>
        <w:rPr>
          <w:rFonts w:ascii="Times New Roman" w:cs="Times New Roman" w:eastAsia="Times New Roman" w:hAnsi="Times New Roman"/>
          <w:sz w:val="26"/>
          <w:szCs w:val="26"/>
        </w:rPr>
        <w:t xml:space="preserve">MỤC IV.</w:t>
      </w:r>
    </w:p>
    <w:p>
      <w:pPr>
        <w:spacing w:after="120" w:line="360"/>
      </w:pPr>
      <w:r>
        <w:rPr>
          <w:rFonts w:ascii="Times New Roman" w:cs="Times New Roman" w:eastAsia="Times New Roman" w:hAnsi="Times New Roman"/>
          <w:sz w:val="26"/>
          <w:szCs w:val="26"/>
        </w:rPr>
        <w:t xml:space="preserve">KẾT QUẢ SẢN XUẤT KINH DOANH SAU KHI XÁC ĐỊNH GIÁ GIAO DỊCH LIÊN KẾT 1.</w:t>
      </w:r>
    </w:p>
    <w:p>
      <w:pPr>
        <w:spacing w:after="120" w:line="360"/>
      </w:pPr>
      <w:r>
        <w:rPr>
          <w:rFonts w:ascii="Times New Roman" w:cs="Times New Roman" w:eastAsia="Times New Roman" w:hAnsi="Times New Roman"/>
          <w:sz w:val="26"/>
          <w:szCs w:val="26"/>
        </w:rPr>
        <w:t xml:space="preserve">Dành cho người nộp thuế thuộc các ngành sản xuất, thương mại, dịch vụ Người nộp thuế đã ký thỏa thuận trước về phương pháp xác định giá tính thuế (APA) Có □ Không □ Đơn vị tiền: Đồng Việt Nam STT Chỉ tiêu Giá trị giao dịch liên kết Giá trị giao dịch với các bên độc lập Tổng giá trị phát sinh từ hoạt động kinh doanh trong kỳ Giá trị xác định theo Hồ sơ xác định giá giao dịch liên kết Giá trị xác định giá theo APA (1) (2) (3) (4) (5) (6)=(3)+(4)+(5) 1 Doanh thu bán hàng và cung cấp dịch vụ Trong đó: Doanh thu bán hàng hóa, dịch vụ xuất khẩu 2 Các khoản giảm trừ doanh thu 3 Doanh thu thuần về bán hàng và cung cấp dịch vụ (3)=(1)-(2) 4 Giá vốn hàng bán 5 Lợi nhuận gộp về bán hàng và cung cấp dịch vụ (5)=(3)-(4) 6 Chi phí bán hàng 7 Chi phí quản lý doanh nghiệp 8 Doanh thu hoạt động tài chính 8.1 Trong đó: Lãi tiền gửi và lãi cho vay 9 Chi phí tài chính 9.1 Trong đó: Chi phí lãi vay 9.1.a Chi phí lãi vay được trừ trong kỳ 9.1.b Phần chi phí lãi vay trong kỳ không được trừ chuyển sang kỳ sau theo quy định tại điểm b khoản 3 Điều 16 10 Chi phí khấu hao phát sinh trong kỳ 11 Lợi nhuận thuần từ hoạt động sản xuất kinh doanh trong kỳ (11)=(5)-(6)-(7)+(8)-(9) 12 Lợi nhuận thuần từ hoạt động sản xuất kinh doanh trong kỳ không bao gồm chênh lệch doanh thu và chi phí của hoạt động tài chính (12)=(11)-(8)+(9) 13 Tổng lợi nhuận thuần từ hoạt động kinh doanh cộng chi phí lãi vay sau khi trừ lãi tiền gửi và lãi cho vay trong kỳ cộng chi phí khấu hao trong kỳ (13)=(11)+(9.1)-(8.1)+(10) 14 Tỷ lệ chi phí lãi vay sau khi trừ lãi tiền gửi và lãi cho vay phát sinh trong kỳ trên tổng lợi nhuận thuần từ hoạt động kinh doanh cộng chi phí lãi vay sau khi trừ lãi tiền gửi và lãi cho vay trong kỳ cộng chi phí khấu hao trong kỳ (14)=[(9.1)-(8.1)]/(13) 15 Chi phí lãi vay của các kỳ trước chuyển sang, trong đó: (15)=(15.1)+(15.2)+(15.3)+(15.4)+(15.5) 15.1 - Phần chi phí lãi vay không được trừ từ năm (n-1) chuyển sang kỳ tính thuế (n) 15.2 - Phần chi phí lãi vay không được trừ từ năm (n-2) chuyển sang kỳ tính thuế (n) 15.3 - Phần chi phí lãi vay không được trừ từ năm (n-3) chuyển sang kỳ tính thuế (n) 15.4 - Phần chi phí lãi vay không được trừ từ năm (n-4) chuyển sang kỳ tính thuế (n) 15.5 - Phần chi phí lãi vay không được trừ từ năm (n-5) chuyển sang kỳ tính thuế (n) 16 Tỷ lệ chi phí lãi vay sau khi trừ lãi tiền gửi và lãi cho vay phát sinh cộng chi phí lãi vay của các kỳ trước chuyển sang trên tổng lợi nhuận thuần từ hoạt động kinh doanh cộng chi phí lãi vay (sau khi trừ lãi tiền gửi và lãi cho vay) trong kỳ cộng chi phí khấu hao trong kỳ (16)=[(9.1)-(8.1)+(15)]/(13) 17 Tỷ suất lợi nhuận sử dụng xác định giá giao dịch liên kết 17.1 - Tỷ suất …………………………………….</w:t>
      </w:r>
    </w:p>
    <w:p>
      <w:pPr>
        <w:spacing w:after="120" w:line="360"/>
      </w:pPr>
      <w:r>
        <w:rPr>
          <w:rFonts w:ascii="Times New Roman" w:cs="Times New Roman" w:eastAsia="Times New Roman" w:hAnsi="Times New Roman"/>
          <w:sz w:val="26"/>
          <w:szCs w:val="26"/>
        </w:rPr>
        <w:t xml:space="preserve">17.2 - Tỷ suất …………………………………….</w:t>
      </w:r>
    </w:p>
    <w:p>
      <w:pPr>
        <w:spacing w:after="120" w:line="360"/>
      </w:pPr>
      <w:r>
        <w:rPr>
          <w:rFonts w:ascii="Times New Roman" w:cs="Times New Roman" w:eastAsia="Times New Roman" w:hAnsi="Times New Roman"/>
          <w:sz w:val="26"/>
          <w:szCs w:val="26"/>
        </w:rPr>
        <w:t xml:space="preserve">17.3 - ……………………………………………...</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Dành cho người nộp thuế thuộc các ngành ngân hàng, tín dụng Người nộp thuế đã ký thỏa thuận trước về phương pháp xác định giá tính thuế (APA) Có □ Không □ Đơn vị tiền: Đồng Việt Nam STT Chỉ tiêu Giá trị giao dịch liên kết Giá trị giao dịch với các bên độc lập Tổng giá trị phát sinh từ hoạt động kinh doanh trong kỳ Giá trị xác định theo Hồ sơ xác định giá giao dịch liên kết Giá trị xác định giá theo APA (1) (2) (3) (4) (5) (6)=(3)+(4)+(5) 1 Thu nhập lãi và các khoản thu nhập tương tự 2 Chi phí lãi và các chi phí tương tự 3 Thu nhập lãi thuần (3)=(1)-(2) 4 Thu nhập từ hoạt động dịch vụ 5 Chi phí hoạt động dịch vụ 6 Lãi/lỗ thuần từ hoạt động dịch vụ (6)=(4)-(5) 7 Lãi/lỗ thuần từ hoạt động kinh doanh ngoại hối 8 Lãi/lỗ thuần từ mua bán chứng khoán kinh doanh 9 Lãi/lỗ thuần từ mua bán chứng khoán đầu tư 10 Thu nhập từ hoạt động khác 11 Chi phí hoạt động khác 12 Lãi/lỗ thuần từ hoạt động khác (12)=(10)-(11) 13 Thu nhập từ góp vốn, mua cổ phần 14 Chi phí hoạt động 15 Chi phí dự phòng rủi ro tín dụng 16 Tổng lợi nhuận trước thuế (16)=(3)+(6)+(7)+(8)+(9)+(12)+(13)-(14)-(15) 17 Lợi nhuận thuần từ hoạt động sản xuất kinh doanh (17=16-12) 18 Tỷ suất lợi nhuận sử dụng xác định giá giao dịch liên kết 18.1 Tỷ suất ………………………….</w:t>
      </w:r>
    </w:p>
    <w:p>
      <w:pPr>
        <w:spacing w:after="120" w:line="360"/>
      </w:pPr>
      <w:r>
        <w:rPr>
          <w:rFonts w:ascii="Times New Roman" w:cs="Times New Roman" w:eastAsia="Times New Roman" w:hAnsi="Times New Roman"/>
          <w:sz w:val="26"/>
          <w:szCs w:val="26"/>
        </w:rPr>
        <w:t xml:space="preserve">18.2 Tỷ suất ………………………….</w:t>
      </w:r>
    </w:p>
    <w:p>
      <w:pPr>
        <w:spacing w:after="120" w:line="360"/>
      </w:pPr>
      <w:r>
        <w:rPr>
          <w:rFonts w:ascii="Times New Roman" w:cs="Times New Roman" w:eastAsia="Times New Roman" w:hAnsi="Times New Roman"/>
          <w:sz w:val="26"/>
          <w:szCs w:val="26"/>
        </w:rPr>
        <w:t xml:space="preserve">18.3 …………………………………...</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Dành cho người nộp thuế là các Công ty chứng khoán Người nộp thuế đã ký thỏa thuận trước về phương pháp xác định giá tính thuế (APA) Có □ Không □ Đơn vị tiền: Đồng Việt Nam STT Chỉ tiêu Giá trị giao dịch liên kết Giá trị giao dịch với các bên độc lập Tổng giá trị phát sinh từ hoạt động kinh doanh trong kỳ Giá trị xác định theo Hồ sơ xác định giá giao dịch liên kết Giá trị xác định giá theo APA (1) (2) (3) (4) (5) (6)=(3)+(4)+(5) 1 Doanh thu hoạt động (1)=(1.1)+(1.2)+(1.3)+(1.4)+(1.5)+(1.6)+(1.7)+(1.8)+(1.9)+ (1.10)+(1.11) 1.1 Lãi từ các tài sản tài chính ghi nhận thông qua lãi/lỗ (FVTPL) (1.1)=(1.1.a)+(1.1.b)+(1.1.c) 1.1.a Lãi bán các tài sản tài chính FVTPL 1.1.b Chênh lệch tăng về đánh giá lại các TSTC FVTPL 1.1.c Cổ tức, tiền lãi phát sinh từ tài sản tài chính FVTPL 1.2 Lãi từ các khoản đầu tư nắm giữ đến ngày đáo hạn (HTM) 1.3 Lãi từ các khoản cho vay và phải thu 1.4 Lãi từ tài sản tài chính sẵn sàng để bán (AFS) 1.5 Lãi từ các công cụ phái sinh phòng ngừa rủi ro 1.6 Doanh thu nghiệp vụ môi giới chứng khoán 1.7 Doanh thu nghiệp vụ bảo lãnh, đại lý phát hành chứng khoán 1.8 Doanh thu nghiệp vụ tư vấn đầu tư chứng khoán 1.9 Doanh thu nghiệp vụ lưu ký chứng khoán 1.10 Doanh thu hoạt động tư vấn tài chính 1.11 Thu nhập hoạt động khác 2 Chi phí hoạt động (2) = (2.1) + (2.2) + (2.3) + (2.4) + (2.5) + (2.6) + (2.7) + (2.8) + (2.9) + (2.10) + (2.11) + (2.12) 2.1 Lỗ các tài sản tài chính ghi nhận thông qua lãi/lỗ (FVTPL) (2.1)=(2.1.a)+(2.1.b)+(2.1.c) 2.1.a Lỗ bán các tài sản tài chính FVTPL 2.1.b Chênh lệch giảm đánh giá lại các TSTC FVTPL 2.1.c Chi phí giao dịch mua các tài sản tài chính FVTPL 2.2 Lỗ các khoản đầu tư nắm giữ đến ngày đáo hạn (HTM) 2.3 Lỗ và ghi nhận chênh lệch đánh giá theo giá trị hợp lý tài sản tài chính sẵn sàng để bán (AFS) khi phân loại lại 2.4 Chi phí dự phòng tài sản tài chính, xử lý tổn thất các khoản phải thu khó đòi và lỗ suy giảm tài sản tài chính và chi phí đi vay của các khoản cho vay 2.5 Lỗ từ các tài sản tài chính phái sinh phòng ngừa rủi ro 2.6 Chi phí hoạt động tự doanh 2.7 Chi phí nghiệp vụ môi giới chứng khoán 2.8 Chi phí nghiệp vụ bảo lãnh, đại lý phát hành chứng khoán 2.9 Chi phí nghiệp vụ tư vấn đầu tư chứng khoán 2.10 Chi phí nghiệp vụ lưu ký chứng khoán 2.11 Chi phí hoạt động tư vấn tài chính 2.12 Chi phí các dịch vụ khác 3 Doanh thu hoạt động tài chính (3)=(3.1)+(3.2)+(3.3)+(3.4) 3.1 Chênh lệch lãi tỷ giá hối đoái đã và chưa thực hiện 3.2 Doanh thu, dự thu cổ tức, lãi tiền gửi ngân hàng không cố định 3.3 Lãi bán, thanh lý các khoản đầu tư vào công ty con, liên kết, liên doanh 3.4 Doanh thu khác về đầu tư 4 Chi phí tài chính (4)=(4.1)+(4.2)+(4.3)+(4.4)+(4.5) 4.1 Chênh lệch lỗ tỷ giá hối đoái đã và chưa thực hiện 4.2 Chi phí lãi vay 4.3 Lỗ bán, thanh lý các khoản đầu tư vào công ty con, liên kết, liên doanh 4.4 Chi phí dự phòng suy giảm giá trị các khoản đầu tư tài chính dài hạn 4.5 Chi phí tài chính khác 5 Chi phí bán hàng 6 Chi phí quản lý công ty chứng khoán 7 Kết quả hoạt động (7)=(1)-(2)+(3)-(4)-(5)-(6) 8 Tổng lãi tiền gửi và lãi cho vay phát sinh trong kỳ 9 Tổng chi phí lãi vay phát sinh trong kỳ 9.1 Chi phí lãi vay được trừ trong kỳ 9.2 Phần chi phí lãi vay trong kỳ không được trừ chuyển sang kỳ sau theo quy định tại điểm b khoản 3 Điều 16 10 Chi phí khấu hao phát sinh trong kỳ 11 Tổng lợi nhuận thuần từ hoạt động kinh doanh trong kỳ cộng chi phí lãi vay sau khi trừ lãi tiền gửi và lãi cho vay phát sinh trong kỳ cộng chi phí khấu hao phát sinh trong kỳ [(11)=(7)+(9)-(8)+(10)] 12 Tỷ lệ chi phí lãi vay sau khi trừ lãi tiền gửi và lãi cho vay phát sinh trong kỳ trên tổng lợi nhuận thuần từ hoạt động kinh doanh cộng chi phí lãi vay sau khi trừ lãi tiền gửi và lãi cho vay trong kỳ cộng chi phí khấu hao phát sinh trong kỳ (12)=[(9)-(8)]/(11) 13 Chi phí lãi vay của các kỳ trước chuyển sang (13)=(13.1)+(13.2)+(13.3)+(13.4)+(13.5) Trong đó: 13.1 - Phần chi phí lãi vay không được trừ từ năm (n-1) chuyển sang kỳ tính thuế (n) 13.2 - Phần chi phí lãi vay không được trừ từ năm (n-2) chuyển sang kỳ tính thuế (n) 13.3 - Phần chi phí lãi vay không được trừ từ năm (n-3) chuyển sang kỳ tính thuế (n) 13.4 - Phần chi phí lãi vay không được trừ từ năm (n-4) chuyển sang kỳ tính thuế (n) 13.5 - Phần chi phí lãi vay không được trừ từ năm (n-5) chuyển sang kỳ tính thuế (n) 14 Tỷ lệ chi phí lãi vay sau khi trừ lãi tiền gửi và lãi cho vay phát sinh được trừ trong kỳ cộng chi phí lãi vay của các kỳ trước chuyển sang kỳ tính thuế (n) trên tổng lợi nhuận thuần từ hoạt động kinh doanh cộng chi phí lãi vay thuần phát sinh trong kỳ cộng chi phí khấu hao phát sinh trong kỳ của người nộp thuế (14)=[(9)-(8)+(13)]/(11) 15 Tỷ suất lợi nhuận sử dụng xác định giá giao dịch liên kết 15.1 Tỷ suất …………………………..</w:t>
      </w:r>
    </w:p>
    <w:p>
      <w:pPr>
        <w:spacing w:after="120" w:line="360"/>
      </w:pPr>
      <w:r>
        <w:rPr>
          <w:rFonts w:ascii="Times New Roman" w:cs="Times New Roman" w:eastAsia="Times New Roman" w:hAnsi="Times New Roman"/>
          <w:sz w:val="26"/>
          <w:szCs w:val="26"/>
        </w:rPr>
        <w:t xml:space="preserve">15.2 Tỷ suất …………………………..</w:t>
      </w:r>
    </w:p>
    <w:p>
      <w:pPr>
        <w:spacing w:after="120" w:line="360"/>
      </w:pPr>
      <w:r>
        <w:rPr>
          <w:rFonts w:ascii="Times New Roman" w:cs="Times New Roman" w:eastAsia="Times New Roman" w:hAnsi="Times New Roman"/>
          <w:sz w:val="26"/>
          <w:szCs w:val="26"/>
        </w:rPr>
        <w:t xml:space="preserve">15.3 …………………………………… Tôi cam đoan số liệu khai trên là đúng và chịu trách nhiệm trước pháp luật về số liệu đã khai./.</w:t>
      </w:r>
    </w:p>
    <w:p>
      <w:pPr>
        <w:spacing w:after="120" w:line="360"/>
      </w:pPr>
      <w:r>
        <w:rPr>
          <w:rFonts w:ascii="Times New Roman" w:cs="Times New Roman" w:eastAsia="Times New Roman" w:hAnsi="Times New Roman"/>
          <w:sz w:val="26"/>
          <w:szCs w:val="26"/>
        </w:rPr>
        <w:t xml:space="preserve">NHÂN VIÊN ĐẠI LÝ THUẾ Họ và tên: ……………………….</w:t>
      </w:r>
    </w:p>
    <w:p>
      <w:pPr>
        <w:spacing w:after="120" w:line="360"/>
      </w:pPr>
      <w:r>
        <w:rPr>
          <w:rFonts w:ascii="Times New Roman" w:cs="Times New Roman" w:eastAsia="Times New Roman" w:hAnsi="Times New Roman"/>
          <w:sz w:val="26"/>
          <w:szCs w:val="26"/>
        </w:rPr>
        <w:t xml:space="preserve">Chứng chỉ hành nghề số: ……….1 ……, ngày …..</w:t>
      </w:r>
    </w:p>
    <w:p>
      <w:pPr>
        <w:spacing w:after="120" w:line="360"/>
      </w:pPr>
      <w:r>
        <w:rPr>
          <w:rFonts w:ascii="Times New Roman" w:cs="Times New Roman" w:eastAsia="Times New Roman" w:hAnsi="Times New Roman"/>
          <w:sz w:val="26"/>
          <w:szCs w:val="26"/>
        </w:rPr>
        <w:t xml:space="preserve">tháng …..</w:t>
      </w:r>
    </w:p>
    <w:p>
      <w:pPr>
        <w:spacing w:after="120" w:line="360"/>
      </w:pPr>
      <w:r>
        <w:rPr>
          <w:rFonts w:ascii="Times New Roman" w:cs="Times New Roman" w:eastAsia="Times New Roman" w:hAnsi="Times New Roman"/>
          <w:sz w:val="26"/>
          <w:szCs w:val="26"/>
        </w:rPr>
        <w:t xml:space="preserve">năm …..</w:t>
      </w:r>
    </w:p>
    <w:p>
      <w:pPr>
        <w:spacing w:after="120" w:line="360"/>
      </w:pPr>
      <w:r>
        <w:rPr>
          <w:rFonts w:ascii="Times New Roman" w:cs="Times New Roman" w:eastAsia="Times New Roman" w:hAnsi="Times New Roman"/>
          <w:sz w:val="26"/>
          <w:szCs w:val="26"/>
        </w:rPr>
        <w:t xml:space="preserve">NGƯỜI NỘP THUẾ hoặc ĐẠI DIỆN HỢP PHÁP CỦA NGƯỜI NỘP THUẾ (Ký, ghi rõ họ tên; chức vụ và đóng dấu (nếu có)) HƯỚNG DẪN KÊ KHAI MỘT SỐ CHỈ TIÊU A.</w:t>
      </w:r>
    </w:p>
    <w:p>
      <w:pPr>
        <w:spacing w:after="120" w:line="360"/>
      </w:pPr>
      <w:r>
        <w:rPr>
          <w:rFonts w:ascii="Times New Roman" w:cs="Times New Roman" w:eastAsia="Times New Roman" w:hAnsi="Times New Roman"/>
          <w:sz w:val="26"/>
          <w:szCs w:val="26"/>
        </w:rPr>
        <w:t xml:space="preserve">Kỳ tính thuế: Ghi thông tin tương ứng với kỳ tính thuế của Tờ khai quyết toán thuế thu nhập doanh nghiệp.</w:t>
      </w:r>
    </w:p>
    <w:p>
      <w:pPr>
        <w:spacing w:after="120" w:line="360"/>
      </w:pPr>
      <w:r>
        <w:rPr>
          <w:rFonts w:ascii="Times New Roman" w:cs="Times New Roman" w:eastAsia="Times New Roman" w:hAnsi="Times New Roman"/>
          <w:sz w:val="26"/>
          <w:szCs w:val="26"/>
        </w:rPr>
        <w:t xml:space="preserve">Kỳ tính thuế xác định theo quy định tại Luật Thuế thu nhập doanh nghiệp.</w:t>
      </w:r>
    </w:p>
    <w:p>
      <w:pPr>
        <w:spacing w:after="120" w:line="360"/>
      </w:pPr>
      <w:r>
        <w:rPr>
          <w:rFonts w:ascii="Times New Roman" w:cs="Times New Roman" w:eastAsia="Times New Roman" w:hAnsi="Times New Roman"/>
          <w:sz w:val="26"/>
          <w:szCs w:val="26"/>
        </w:rPr>
        <w:t xml:space="preserve">B.</w:t>
      </w:r>
    </w:p>
    <w:p>
      <w:pPr>
        <w:spacing w:after="120" w:line="360"/>
      </w:pPr>
      <w:r>
        <w:rPr>
          <w:rFonts w:ascii="Times New Roman" w:cs="Times New Roman" w:eastAsia="Times New Roman" w:hAnsi="Times New Roman"/>
          <w:sz w:val="26"/>
          <w:szCs w:val="26"/>
        </w:rPr>
        <w:t xml:space="preserve">Thông tin chung của người nộp thuế: Từ chỉ tiêu [01] đến chỉ tiêu [10] ghi thông tin tương ứng với thông tin đã ghi tại Tờ khai quyết toán thuế thu nhập doanh nghiệp.</w:t>
      </w:r>
    </w:p>
    <w:p>
      <w:pPr>
        <w:spacing w:after="120" w:line="360"/>
      </w:pPr>
      <w:r>
        <w:rPr>
          <w:rFonts w:ascii="Times New Roman" w:cs="Times New Roman" w:eastAsia="Times New Roman" w:hAnsi="Times New Roman"/>
          <w:sz w:val="26"/>
          <w:szCs w:val="26"/>
        </w:rPr>
        <w:t xml:space="preserve">C.</w:t>
      </w:r>
    </w:p>
    <w:p>
      <w:pPr>
        <w:spacing w:after="120" w:line="360"/>
      </w:pPr>
      <w:r>
        <w:rPr>
          <w:rFonts w:ascii="Times New Roman" w:cs="Times New Roman" w:eastAsia="Times New Roman" w:hAnsi="Times New Roman"/>
          <w:sz w:val="26"/>
          <w:szCs w:val="26"/>
        </w:rPr>
        <w:t xml:space="preserve">Mục I.</w:t>
      </w:r>
    </w:p>
    <w:p>
      <w:pPr>
        <w:spacing w:after="120" w:line="360"/>
      </w:pPr>
      <w:r>
        <w:rPr>
          <w:rFonts w:ascii="Times New Roman" w:cs="Times New Roman" w:eastAsia="Times New Roman" w:hAnsi="Times New Roman"/>
          <w:sz w:val="26"/>
          <w:szCs w:val="26"/>
        </w:rPr>
        <w:t xml:space="preserve">Thông tin về các bên liên kết: - Cột (2): Ghi đầy đủ tên của từng bên liên kết: + Trường hợp bên liên kết tại Việt Nam là tổ chức thì ghi theo thông tin tại giấy phép đăng ký doanh nghiệp; là cá nhân thì ghi theo thông tin tại chứng minh nhân dân, thẻ căn cước công dân, hộ chiếu.</w:t>
      </w:r>
    </w:p>
    <w:p>
      <w:pPr>
        <w:spacing w:after="120" w:line="360"/>
      </w:pPr>
      <w:r>
        <w:rPr>
          <w:rFonts w:ascii="Times New Roman" w:cs="Times New Roman" w:eastAsia="Times New Roman" w:hAnsi="Times New Roman"/>
          <w:sz w:val="26"/>
          <w:szCs w:val="26"/>
        </w:rPr>
        <w:t xml:space="preserve">+ Trường hợp bên liên kết là tổ chức, cá nhân ngoài Việt Nam thì ghi theo thông tin tại văn bản xác định quan hệ liên kết như giấy phép đăng ký kinh doanh, hợp đồng, thỏa thuận giao dịch của người nộp thuế với bên liên kết.</w:t>
      </w:r>
    </w:p>
    <w:p>
      <w:pPr>
        <w:spacing w:after="120" w:line="360"/>
      </w:pPr>
      <w:r>
        <w:rPr>
          <w:rFonts w:ascii="Times New Roman" w:cs="Times New Roman" w:eastAsia="Times New Roman" w:hAnsi="Times New Roman"/>
          <w:sz w:val="26"/>
          <w:szCs w:val="26"/>
        </w:rPr>
        <w:t xml:space="preserve">- Cột (3): Ghi tên quốc gia, vùng lãnh thổ nơi bên liên kết là đối tượng cư trú.</w:t>
      </w:r>
    </w:p>
    <w:p>
      <w:pPr>
        <w:spacing w:after="120" w:line="360"/>
      </w:pPr>
      <w:r>
        <w:rPr>
          <w:rFonts w:ascii="Times New Roman" w:cs="Times New Roman" w:eastAsia="Times New Roman" w:hAnsi="Times New Roman"/>
          <w:sz w:val="26"/>
          <w:szCs w:val="26"/>
        </w:rPr>
        <w:t xml:space="preserve">- Cột (4): Ghi mã số thuế của các bên liên kết: + Trường hợp bên liên kết là tổ chức, cá nhân tại Việt Nam thì ghi đủ mã số thuế.</w:t>
      </w:r>
    </w:p>
    <w:p>
      <w:pPr>
        <w:spacing w:after="120" w:line="360"/>
      </w:pPr>
      <w:r>
        <w:rPr>
          <w:rFonts w:ascii="Times New Roman" w:cs="Times New Roman" w:eastAsia="Times New Roman" w:hAnsi="Times New Roman"/>
          <w:sz w:val="26"/>
          <w:szCs w:val="26"/>
        </w:rPr>
        <w:t xml:space="preserve">+ Trường hợp bên liên kết là tổ chức, cá nhân ngoài Việt Nam thì ghi đủ mã số thuế, mã định danh người nộp thuế, nếu không có thì ghi rõ lý do.</w:t>
      </w:r>
    </w:p>
    <w:p>
      <w:pPr>
        <w:spacing w:after="120" w:line="360"/>
      </w:pPr>
      <w:r>
        <w:rPr>
          <w:rFonts w:ascii="Times New Roman" w:cs="Times New Roman" w:eastAsia="Times New Roman" w:hAnsi="Times New Roman"/>
          <w:sz w:val="26"/>
          <w:szCs w:val="26"/>
        </w:rPr>
        <w:t xml:space="preserve">- Cột (5): Căn cứ quy định tại khoản 2 Điều 5 Nghị định số …../2020/NĐ-CP, người nộp thuế phát sinh giao dịch liên kết kê khai hình thức quan hệ liên kết tương ứng với từng bên liên kết bằng cách đánh dấu “x” vào ô tương ứng.</w:t>
      </w:r>
    </w:p>
    <w:p>
      <w:pPr>
        <w:spacing w:after="120" w:line="360"/>
      </w:pPr>
      <w:r>
        <w:rPr>
          <w:rFonts w:ascii="Times New Roman" w:cs="Times New Roman" w:eastAsia="Times New Roman" w:hAnsi="Times New Roman"/>
          <w:sz w:val="26"/>
          <w:szCs w:val="26"/>
        </w:rPr>
        <w:t xml:space="preserve">Trường hợp bên liên kết thuộc nhiều hơn một hình thức quan hệ liên kết, người nộp thuế đánh dấu “x” vào các ô tương ứng.</w:t>
      </w:r>
    </w:p>
    <w:p>
      <w:pPr>
        <w:spacing w:after="120" w:line="360"/>
      </w:pPr>
      <w:r>
        <w:rPr>
          <w:rFonts w:ascii="Times New Roman" w:cs="Times New Roman" w:eastAsia="Times New Roman" w:hAnsi="Times New Roman"/>
          <w:sz w:val="26"/>
          <w:szCs w:val="26"/>
        </w:rPr>
        <w:t xml:space="preserve">D.</w:t>
      </w:r>
    </w:p>
    <w:p>
      <w:pPr>
        <w:spacing w:after="120" w:line="360"/>
      </w:pPr>
      <w:r>
        <w:rPr>
          <w:rFonts w:ascii="Times New Roman" w:cs="Times New Roman" w:eastAsia="Times New Roman" w:hAnsi="Times New Roman"/>
          <w:sz w:val="26"/>
          <w:szCs w:val="26"/>
        </w:rPr>
        <w:t xml:space="preserve">Mục II.</w:t>
      </w:r>
    </w:p>
    <w:p>
      <w:pPr>
        <w:spacing w:after="120" w:line="360"/>
      </w:pPr>
      <w:r>
        <w:rPr>
          <w:rFonts w:ascii="Times New Roman" w:cs="Times New Roman" w:eastAsia="Times New Roman" w:hAnsi="Times New Roman"/>
          <w:sz w:val="26"/>
          <w:szCs w:val="26"/>
        </w:rPr>
        <w:t xml:space="preserve">Các trường hợp được miễn kê khai, miễn lập hồ sơ xác định giá giao dịch liên kết: Nếu người nộp thuế thuộc trường hợp được miễn kê khai, miễn lập Hồ sơ xác định giá giao dịch liên kết quy định tại Điều 19 Nghị định số …../2020/NĐ-CP tại Cột (2) thì đánh dấu “x” vào ô thuộc diện miễn trừ tương ứng tại Cột (3).</w:t>
      </w:r>
    </w:p>
    <w:p>
      <w:pPr>
        <w:spacing w:after="120" w:line="360"/>
      </w:pPr>
      <w:r>
        <w:rPr>
          <w:rFonts w:ascii="Times New Roman" w:cs="Times New Roman" w:eastAsia="Times New Roman" w:hAnsi="Times New Roman"/>
          <w:sz w:val="26"/>
          <w:szCs w:val="26"/>
        </w:rPr>
        <w:t xml:space="preserve">Trường hợp người nộp thuế được miễn kê khai, miễn lập hồ sơ xác định giá giao dịch liên kết theo quy định tại khoản 1 Điều 19 Nghị định số …../2020/NĐ-CP, người nộp thuế chỉ đánh dấu vào ô tương ứng tại Cột (3) và không phải kê khai các mục III và IV Phụ lục I kèm theo Nghị định số …../2020/NĐ-CP.</w:t>
      </w:r>
    </w:p>
    <w:p>
      <w:pPr>
        <w:spacing w:after="120" w:line="360"/>
      </w:pPr>
      <w:r>
        <w:rPr>
          <w:rFonts w:ascii="Times New Roman" w:cs="Times New Roman" w:eastAsia="Times New Roman" w:hAnsi="Times New Roman"/>
          <w:sz w:val="26"/>
          <w:szCs w:val="26"/>
        </w:rPr>
        <w:t xml:space="preserve">Trường hợp người nộp thuế được miễn lập Hồ sơ xác định giá giao dịch liên kết theo quy định tại điểm a hoặc điểm c khoản 2 Điều 19 Nghị định số …../2020/NĐ-CP, người nộp thuế kê khai các mục III và IV theo hướng dẫn tương ứng tại các phần Đ.1 và E.</w:t>
      </w:r>
    </w:p>
    <w:p>
      <w:pPr>
        <w:spacing w:after="120" w:line="360"/>
      </w:pPr>
      <w:r>
        <w:rPr>
          <w:rFonts w:ascii="Times New Roman" w:cs="Times New Roman" w:eastAsia="Times New Roman" w:hAnsi="Times New Roman"/>
          <w:sz w:val="26"/>
          <w:szCs w:val="26"/>
        </w:rPr>
        <w:t xml:space="preserve">Trường hợp người nộp thuế được miễn lập Hồ sơ xác định giá giao dịch liên kết theo quy định tại điểm b khoản 2 Điều 19 Nghị định số …../2020/NĐ-CP, người nộp thuế kê khai theo hướng dẫn tương ứng tại các phần Đ.2 và E.</w:t>
      </w:r>
    </w:p>
    <w:p>
      <w:pPr>
        <w:spacing w:after="120" w:line="360"/>
      </w:pPr>
      <w:r>
        <w:rPr>
          <w:rFonts w:ascii="Times New Roman" w:cs="Times New Roman" w:eastAsia="Times New Roman" w:hAnsi="Times New Roman"/>
          <w:sz w:val="26"/>
          <w:szCs w:val="26"/>
        </w:rPr>
        <w:t xml:space="preserve">Đ.</w:t>
      </w:r>
    </w:p>
    <w:p>
      <w:pPr>
        <w:spacing w:after="120" w:line="360"/>
      </w:pPr>
      <w:r>
        <w:rPr>
          <w:rFonts w:ascii="Times New Roman" w:cs="Times New Roman" w:eastAsia="Times New Roman" w:hAnsi="Times New Roman"/>
          <w:sz w:val="26"/>
          <w:szCs w:val="26"/>
        </w:rPr>
        <w:t xml:space="preserve">Mục III.</w:t>
      </w:r>
    </w:p>
    <w:p>
      <w:pPr>
        <w:spacing w:after="120" w:line="360"/>
      </w:pPr>
      <w:r>
        <w:rPr>
          <w:rFonts w:ascii="Times New Roman" w:cs="Times New Roman" w:eastAsia="Times New Roman" w:hAnsi="Times New Roman"/>
          <w:sz w:val="26"/>
          <w:szCs w:val="26"/>
        </w:rPr>
        <w:t xml:space="preserve">Thông tin xác định giá giao dịch liên kết: Đ.1.</w:t>
      </w:r>
    </w:p>
    <w:p>
      <w:pPr>
        <w:spacing w:after="120" w:line="360"/>
      </w:pPr>
      <w:r>
        <w:rPr>
          <w:rFonts w:ascii="Times New Roman" w:cs="Times New Roman" w:eastAsia="Times New Roman" w:hAnsi="Times New Roman"/>
          <w:sz w:val="26"/>
          <w:szCs w:val="26"/>
        </w:rPr>
        <w:t xml:space="preserve">Trường hợp người nộp thuế được miễn lập Hồ sơ xác định giá giao dịch liên kết theo quy định tại điểm a hoặc điểm c khoản 2 Điều 19 Nghị định số …../2020/NĐ-CP và đã kê khai đánh dấu (x) vào cột 3 tại dòng a hoặc dòng c chỉ tiêu miễn lập Hồ sơ xác định giá giao dịch liên kết của Mục II Phụ lục I kèm theo Nghị định số …../2020/NĐ-CP thực hiện kê khai mục này như sau: - Cột (3), (7) và (12): Kê khai như hướng dẫn tại phần Đ.2 Phụ lục này.</w:t>
      </w:r>
    </w:p>
    <w:p>
      <w:pPr>
        <w:spacing w:after="120" w:line="360"/>
      </w:pPr>
      <w:r>
        <w:rPr>
          <w:rFonts w:ascii="Times New Roman" w:cs="Times New Roman" w:eastAsia="Times New Roman" w:hAnsi="Times New Roman"/>
          <w:sz w:val="26"/>
          <w:szCs w:val="26"/>
        </w:rPr>
        <w:t xml:space="preserve">- Cột (4), (5), (6), (8), (9), (10) và (11): Người nộp thuế để trống không kê khai.</w:t>
      </w:r>
    </w:p>
    <w:p>
      <w:pPr>
        <w:spacing w:after="120" w:line="360"/>
      </w:pPr>
      <w:r>
        <w:rPr>
          <w:rFonts w:ascii="Times New Roman" w:cs="Times New Roman" w:eastAsia="Times New Roman" w:hAnsi="Times New Roman"/>
          <w:sz w:val="26"/>
          <w:szCs w:val="26"/>
        </w:rPr>
        <w:t xml:space="preserve">Đối với trường hợp người nộp thuế được miễn lập Hồ sơ xác định giá giao dịch liên kết theo quy định tại điểm a khoản 2 Điều 19 Nghị định số …../2020/NĐ-CP, tổng giá trị tất cả các giao dịch liên kết phát sinh trong kỳ tính thuế làm căn cứ xác định điều kiện được miễn trừ được tính bằng (=) tổng giá trị tại Cột (3) cộng (+) Cột (7) của dòng chỉ tiêu “Tổng giá trị giao dịch phát sinh từ hoạt động liên kết”.</w:t>
      </w:r>
    </w:p>
    <w:p>
      <w:pPr>
        <w:spacing w:after="120" w:line="360"/>
      </w:pPr>
      <w:r>
        <w:rPr>
          <w:rFonts w:ascii="Times New Roman" w:cs="Times New Roman" w:eastAsia="Times New Roman" w:hAnsi="Times New Roman"/>
          <w:sz w:val="26"/>
          <w:szCs w:val="26"/>
        </w:rPr>
        <w:t xml:space="preserve">Đ.2.</w:t>
      </w:r>
    </w:p>
    <w:p>
      <w:pPr>
        <w:spacing w:after="120" w:line="360"/>
      </w:pPr>
      <w:r>
        <w:rPr>
          <w:rFonts w:ascii="Times New Roman" w:cs="Times New Roman" w:eastAsia="Times New Roman" w:hAnsi="Times New Roman"/>
          <w:sz w:val="26"/>
          <w:szCs w:val="26"/>
        </w:rPr>
        <w:t xml:space="preserve">Người nộp thuế không thuộc trường hợp được miễn lập Hồ sơ xác định giá giao dịch liên kết tại điểm a hoặc điểm c khoản 2 Điều 19 Nghị định số …../2020/NĐ-CP kê khai như sau: - Chỉ tiêu “Tổng giá trị giao dịch phát sinh từ hoạt động kinh doanh”: + Cột (3): Ghi tổng giá trị doanh thu bán ra cho các bên liên kết và các bên độc lập, bao gồm: Doanh thu bán hàng và cung cấp dịch vụ, doanh thu hoạt động tài chính và thu nhập khác (không bao gồm các khoản thu hộ).</w:t>
      </w:r>
    </w:p>
    <w:p>
      <w:pPr>
        <w:spacing w:after="120" w:line="360"/>
      </w:pPr>
      <w:r>
        <w:rPr>
          <w:rFonts w:ascii="Times New Roman" w:cs="Times New Roman" w:eastAsia="Times New Roman" w:hAnsi="Times New Roman"/>
          <w:sz w:val="26"/>
          <w:szCs w:val="26"/>
        </w:rPr>
        <w:t xml:space="preserve">+ Cột (7): Ghi tổng giá trị chi phí phải trả cho các bên liên kết và các bên độc lập, bao gồm: Chi phí hàng hóa và dịch vụ mua vào, chi phí tài chính, chi phí bán hàng, chi phí quản lý doanh nghiệp và chi phí khác (không bao gồm các khoản chi hộ).</w:t>
      </w:r>
    </w:p>
    <w:p>
      <w:pPr>
        <w:spacing w:after="120" w:line="360"/>
      </w:pPr>
      <w:r>
        <w:rPr>
          <w:rFonts w:ascii="Times New Roman" w:cs="Times New Roman" w:eastAsia="Times New Roman" w:hAnsi="Times New Roman"/>
          <w:sz w:val="26"/>
          <w:szCs w:val="26"/>
        </w:rPr>
        <w:t xml:space="preserve">+ Cột (4), (5), (6), (8), (9), (10), (11), (12) và (13): Để trống không phải kê khai.</w:t>
      </w:r>
    </w:p>
    <w:p>
      <w:pPr>
        <w:spacing w:after="120" w:line="360"/>
      </w:pPr>
      <w:r>
        <w:rPr>
          <w:rFonts w:ascii="Times New Roman" w:cs="Times New Roman" w:eastAsia="Times New Roman" w:hAnsi="Times New Roman"/>
          <w:sz w:val="26"/>
          <w:szCs w:val="26"/>
        </w:rPr>
        <w:t xml:space="preserve">- Chỉ tiêu “Tổng giá trị giao dịch phát sinh từ hoạt động liên kết”: + Cột (3), (4), (7) và (8): Ghi tổng giá trị tại các ô tương ứng với từng chỉ tiêu Hàng hóa cộng (+) Dịch vụ.</w:t>
      </w:r>
    </w:p>
    <w:p>
      <w:pPr>
        <w:spacing w:after="120" w:line="360"/>
      </w:pPr>
      <w:r>
        <w:rPr>
          <w:rFonts w:ascii="Times New Roman" w:cs="Times New Roman" w:eastAsia="Times New Roman" w:hAnsi="Times New Roman"/>
          <w:sz w:val="26"/>
          <w:szCs w:val="26"/>
        </w:rPr>
        <w:t xml:space="preserve">- Chỉ tiêu “Hàng hóa”: + Cột (3), (4), (7) và (8): Ghi tổng giá trị tại các ô tương ứng với các chỉ tiêu Hàng hóa hình thành tài sản cố định cộng (+) Hàng hóa không hình thành tài sản cố định.</w:t>
      </w:r>
    </w:p>
    <w:p>
      <w:pPr>
        <w:spacing w:after="120" w:line="360"/>
      </w:pPr>
      <w:r>
        <w:rPr>
          <w:rFonts w:ascii="Times New Roman" w:cs="Times New Roman" w:eastAsia="Times New Roman" w:hAnsi="Times New Roman"/>
          <w:sz w:val="26"/>
          <w:szCs w:val="26"/>
        </w:rPr>
        <w:t xml:space="preserve">- Chỉ tiêu “Hàng hóa hình thành tài sản cố định” và các dòng chi tiết “Bên liên kết A”, “Bên liên kết B”,...: + Cột (3) và (7): Ghi tổng giá trị phát sinh từ mua hoặc bán tài sản cố định của người nộp thuế với các bên liên kết theo giá trị tại sổ kế toán.</w:t>
      </w:r>
    </w:p>
    <w:p>
      <w:pPr>
        <w:spacing w:after="120" w:line="360"/>
      </w:pPr>
      <w:r>
        <w:rPr>
          <w:rFonts w:ascii="Times New Roman" w:cs="Times New Roman" w:eastAsia="Times New Roman" w:hAnsi="Times New Roman"/>
          <w:sz w:val="26"/>
          <w:szCs w:val="26"/>
        </w:rPr>
        <w:t xml:space="preserve">+ Cột (4) và (8): Ghi tổng giá trị phát sinh từ mua hoặc bán tài sản cố định với các bên liên kết được xác định theo phương pháp xác định giá giao dịch liên kết tương ứng tại Cột (6) và (10).</w:t>
      </w:r>
    </w:p>
    <w:p>
      <w:pPr>
        <w:spacing w:after="120" w:line="360"/>
      </w:pPr>
      <w:r>
        <w:rPr>
          <w:rFonts w:ascii="Times New Roman" w:cs="Times New Roman" w:eastAsia="Times New Roman" w:hAnsi="Times New Roman"/>
          <w:sz w:val="26"/>
          <w:szCs w:val="26"/>
        </w:rPr>
        <w:t xml:space="preserve">- Chỉ tiêu “Hàng hóa không hình thành tài sản cố định” và các dòng chi tiết “Bên liên kết A”, “Bên liên kết B”,...: + Cột (3) và (7): Ghi tổng giá trị phát sinh từ mua hoặc bán hàng hóa không phải là tài sản cố định của người nộp thuế với các bên liên kết theo giá trị tại sổ kế toán.</w:t>
      </w:r>
    </w:p>
    <w:p>
      <w:pPr>
        <w:spacing w:after="120" w:line="360"/>
      </w:pPr>
      <w:r>
        <w:rPr>
          <w:rFonts w:ascii="Times New Roman" w:cs="Times New Roman" w:eastAsia="Times New Roman" w:hAnsi="Times New Roman"/>
          <w:sz w:val="26"/>
          <w:szCs w:val="26"/>
        </w:rPr>
        <w:t xml:space="preserve">+ Cột (4) và (8): Ghi tổng giá trị phát sinh từ mua hoặc bán hàng hóa không phải là tài sản cố định của người nộp thuế với các bên liên kết được xác định theo phương pháp xác định giá giao dịch liên kết tương ứng tại Cột (6) và (10).</w:t>
      </w:r>
    </w:p>
    <w:p>
      <w:pPr>
        <w:spacing w:after="120" w:line="360"/>
      </w:pPr>
      <w:r>
        <w:rPr>
          <w:rFonts w:ascii="Times New Roman" w:cs="Times New Roman" w:eastAsia="Times New Roman" w:hAnsi="Times New Roman"/>
          <w:sz w:val="26"/>
          <w:szCs w:val="26"/>
        </w:rPr>
        <w:t xml:space="preserve">- Chỉ tiêu “Dịch vụ”: + Cột (3), (4), (7) và (8): Ghi tổng giá trị tại các ô tương ứng với các chỉ tiêu “Nghiên cứu, phát triển” cộng (+) “Quảng cáo, tiếp thị” cộng (+) “Quản lý kinh doanh và tư vấn, đào tạo” cộng (+) “Hoạt động tài chính” cộng (+) “Dịch vụ khác”.</w:t>
      </w:r>
    </w:p>
    <w:p>
      <w:pPr>
        <w:spacing w:after="120" w:line="360"/>
      </w:pPr>
      <w:r>
        <w:rPr>
          <w:rFonts w:ascii="Times New Roman" w:cs="Times New Roman" w:eastAsia="Times New Roman" w:hAnsi="Times New Roman"/>
          <w:sz w:val="26"/>
          <w:szCs w:val="26"/>
        </w:rPr>
        <w:t xml:space="preserve">- Các chỉ tiêu “Nghiên cứu, phát triển”; “Quảng cáo, tiếp thị”; “Quản lý kinh doanh và tư vấn, đào tạo”; “Hoạt động tài chính và Dịch vụ khác”, và chi tiết theo từng “Bên liên kết A”, “Bên liên kết B”,...: + Cột (3) và (7): Ghi tổng giá trị từng loại dịch vụ phát sinh từ giao dịch với các bên liên kết được ghi nhận theo giá trị ghi tại sổ kế toán.</w:t>
      </w:r>
    </w:p>
    <w:p>
      <w:pPr>
        <w:spacing w:after="120" w:line="360"/>
      </w:pPr>
      <w:r>
        <w:rPr>
          <w:rFonts w:ascii="Times New Roman" w:cs="Times New Roman" w:eastAsia="Times New Roman" w:hAnsi="Times New Roman"/>
          <w:sz w:val="26"/>
          <w:szCs w:val="26"/>
        </w:rPr>
        <w:t xml:space="preserve">+ Cột (4) và (8): Ghi tổng giá trị từng loại dịch vụ phát sinh từ giao dịch với các bên liên kết được xác định theo phương pháp xác định giá giao dịch liên kết tương ứng tại Cột (6) và Cột (10).</w:t>
      </w:r>
    </w:p>
    <w:p>
      <w:pPr>
        <w:spacing w:after="120" w:line="360"/>
      </w:pPr>
      <w:r>
        <w:rPr>
          <w:rFonts w:ascii="Times New Roman" w:cs="Times New Roman" w:eastAsia="Times New Roman" w:hAnsi="Times New Roman"/>
          <w:sz w:val="26"/>
          <w:szCs w:val="26"/>
        </w:rPr>
        <w:t xml:space="preserve">- Cột (6) và (10): Ghi tương ứng với từng chỉ tiêu theo từng bên liên kết ký hiệu viết tắt tên phương pháp xác định giá giao dịch liên kết theo quy định tại Điều 13, Điều 14, Điều 15 Nghị định số …../2020/NĐ-CP cấu thành giá trị bán ra cho bên liên kết và giá trị mua vào từ bên liên kết của người nộp thuế xác định theo Hồ sơ xác định giá giao dịch liên kết, cụ thể như sau: + PP1: Phương pháp so sánh giá giao dịch liên kết với giá giao dịch độc lập (phương pháp so sánh giá giao dịch độc lập).</w:t>
      </w:r>
    </w:p>
    <w:p>
      <w:pPr>
        <w:spacing w:after="120" w:line="360"/>
      </w:pPr>
      <w:r>
        <w:rPr>
          <w:rFonts w:ascii="Times New Roman" w:cs="Times New Roman" w:eastAsia="Times New Roman" w:hAnsi="Times New Roman"/>
          <w:sz w:val="26"/>
          <w:szCs w:val="26"/>
        </w:rPr>
        <w:t xml:space="preserve">+ PP2: Phương pháp so sánh tỷ suất lợi nhuận của người nộp thuế với tỷ suất lợi nhuận của các đối tượng so sánh độc lập.</w:t>
      </w:r>
    </w:p>
    <w:p>
      <w:pPr>
        <w:spacing w:after="120" w:line="360"/>
      </w:pPr>
      <w:r>
        <w:rPr>
          <w:rFonts w:ascii="Times New Roman" w:cs="Times New Roman" w:eastAsia="Times New Roman" w:hAnsi="Times New Roman"/>
          <w:sz w:val="26"/>
          <w:szCs w:val="26"/>
        </w:rPr>
        <w:t xml:space="preserve">PP2-1: Phương pháp so sánh tỷ suất lợi gộp trên doanh thu (phương pháp giá bán lại).</w:t>
      </w:r>
    </w:p>
    <w:p>
      <w:pPr>
        <w:spacing w:after="120" w:line="360"/>
      </w:pPr>
      <w:r>
        <w:rPr>
          <w:rFonts w:ascii="Times New Roman" w:cs="Times New Roman" w:eastAsia="Times New Roman" w:hAnsi="Times New Roman"/>
          <w:sz w:val="26"/>
          <w:szCs w:val="26"/>
        </w:rPr>
        <w:t xml:space="preserve">PP2-2: Phương pháp so sánh tỷ suất lợi gộp trên giá vốn (phương pháp giá vốn cộng lãi).</w:t>
      </w:r>
    </w:p>
    <w:p>
      <w:pPr>
        <w:spacing w:after="120" w:line="360"/>
      </w:pPr>
      <w:r>
        <w:rPr>
          <w:rFonts w:ascii="Times New Roman" w:cs="Times New Roman" w:eastAsia="Times New Roman" w:hAnsi="Times New Roman"/>
          <w:sz w:val="26"/>
          <w:szCs w:val="26"/>
        </w:rPr>
        <w:t xml:space="preserve">PP2-3: Phương pháp so sánh tỷ suất lợi nhuận thuần.</w:t>
      </w:r>
    </w:p>
    <w:p>
      <w:pPr>
        <w:spacing w:after="120" w:line="360"/>
      </w:pPr>
      <w:r>
        <w:rPr>
          <w:rFonts w:ascii="Times New Roman" w:cs="Times New Roman" w:eastAsia="Times New Roman" w:hAnsi="Times New Roman"/>
          <w:sz w:val="26"/>
          <w:szCs w:val="26"/>
        </w:rPr>
        <w:t xml:space="preserve">+ PP3: Phương pháp phân bổ lợi nhuận giữa các bên liên kết.</w:t>
      </w:r>
    </w:p>
    <w:p>
      <w:pPr>
        <w:spacing w:after="120" w:line="360"/>
      </w:pPr>
      <w:r>
        <w:rPr>
          <w:rFonts w:ascii="Times New Roman" w:cs="Times New Roman" w:eastAsia="Times New Roman" w:hAnsi="Times New Roman"/>
          <w:sz w:val="26"/>
          <w:szCs w:val="26"/>
        </w:rPr>
        <w:t xml:space="preserve">Ví dụ: + Mua máy móc từ bên liên kết A trên cơ sở phương pháp so sánh giá giao dịch độc lập, tại dòng chỉ tiêu Hàng hóa hình thành tài sản cố định từ bên liên kết A Cột (10): Ghi PP1.</w:t>
      </w:r>
    </w:p>
    <w:p>
      <w:pPr>
        <w:spacing w:after="120" w:line="360"/>
      </w:pPr>
      <w:r>
        <w:rPr>
          <w:rFonts w:ascii="Times New Roman" w:cs="Times New Roman" w:eastAsia="Times New Roman" w:hAnsi="Times New Roman"/>
          <w:sz w:val="26"/>
          <w:szCs w:val="26"/>
        </w:rPr>
        <w:t xml:space="preserve">+ Thu phí dịch vụ quản lý cung cấp cho bên liên kết B trên cơ sở phương pháp giá vốn cộng lãi, tại dòng chỉ tiêu Quản lý kinh doanh và tư vấn, đào tạo cho bên liên kết B Cột (6): Ghi PP2-2.</w:t>
      </w:r>
    </w:p>
    <w:p>
      <w:pPr>
        <w:spacing w:after="120" w:line="360"/>
      </w:pPr>
      <w:r>
        <w:rPr>
          <w:rFonts w:ascii="Times New Roman" w:cs="Times New Roman" w:eastAsia="Times New Roman" w:hAnsi="Times New Roman"/>
          <w:sz w:val="26"/>
          <w:szCs w:val="26"/>
        </w:rPr>
        <w:t xml:space="preserve">- Cột (5) và (9): Ghi tổng giá trị được xác định theo công thức tính tại Phụ lục I ban hành kèm theo Nghị định số …../2020/NĐ-CP.</w:t>
      </w:r>
    </w:p>
    <w:p>
      <w:pPr>
        <w:spacing w:after="120" w:line="360"/>
      </w:pPr>
      <w:r>
        <w:rPr>
          <w:rFonts w:ascii="Times New Roman" w:cs="Times New Roman" w:eastAsia="Times New Roman" w:hAnsi="Times New Roman"/>
          <w:sz w:val="26"/>
          <w:szCs w:val="26"/>
        </w:rPr>
        <w:t xml:space="preserve">- Cột (11): Ghi lợi nhuận tăng do xác định lại theo giá giao dịch độc lập.</w:t>
      </w:r>
    </w:p>
    <w:p>
      <w:pPr>
        <w:spacing w:after="120" w:line="360"/>
      </w:pPr>
      <w:r>
        <w:rPr>
          <w:rFonts w:ascii="Times New Roman" w:cs="Times New Roman" w:eastAsia="Times New Roman" w:hAnsi="Times New Roman"/>
          <w:sz w:val="26"/>
          <w:szCs w:val="26"/>
        </w:rPr>
        <w:t xml:space="preserve">- Cột (12): Ghi lần lượt tổng giá trị thu hộ, tổng giá trị chi hộ, tổng giá trị doanh thu phân bổ cho cơ sở thường trú, tổng giá trị chi phí phân bổ cho cơ sở thường trú phát sinh trong kỳ tính thuế.</w:t>
      </w:r>
    </w:p>
    <w:p>
      <w:pPr>
        <w:spacing w:after="120" w:line="360"/>
      </w:pPr>
      <w:r>
        <w:rPr>
          <w:rFonts w:ascii="Times New Roman" w:cs="Times New Roman" w:eastAsia="Times New Roman" w:hAnsi="Times New Roman"/>
          <w:sz w:val="26"/>
          <w:szCs w:val="26"/>
        </w:rPr>
        <w:t xml:space="preserve">- Cột (13): Ghi theo hướng dẫn tại Phụ lục I ban hành kèm theo Nghị định số …../2020/NĐ-CP tương ứng với từng giao dịch thuộc phạm vi áp dụng APA và để trống các ô tương ứng với các dòng chỉ tiêu ghi số liệu tổng giá trị.</w:t>
      </w:r>
    </w:p>
    <w:p>
      <w:pPr>
        <w:spacing w:after="120" w:line="360"/>
      </w:pPr>
      <w:r>
        <w:rPr>
          <w:rFonts w:ascii="Times New Roman" w:cs="Times New Roman" w:eastAsia="Times New Roman" w:hAnsi="Times New Roman"/>
          <w:sz w:val="26"/>
          <w:szCs w:val="26"/>
        </w:rPr>
        <w:t xml:space="preserve">E.</w:t>
      </w:r>
    </w:p>
    <w:p>
      <w:pPr>
        <w:spacing w:after="120" w:line="360"/>
      </w:pPr>
      <w:r>
        <w:rPr>
          <w:rFonts w:ascii="Times New Roman" w:cs="Times New Roman" w:eastAsia="Times New Roman" w:hAnsi="Times New Roman"/>
          <w:sz w:val="26"/>
          <w:szCs w:val="26"/>
        </w:rPr>
        <w:t xml:space="preserve">Mục IV.</w:t>
      </w:r>
    </w:p>
    <w:p>
      <w:pPr>
        <w:spacing w:after="120" w:line="360"/>
      </w:pPr>
      <w:r>
        <w:rPr>
          <w:rFonts w:ascii="Times New Roman" w:cs="Times New Roman" w:eastAsia="Times New Roman" w:hAnsi="Times New Roman"/>
          <w:sz w:val="26"/>
          <w:szCs w:val="26"/>
        </w:rPr>
        <w:t xml:space="preserve">Kết quả sản xuất kinh doanh sau khi xác định giá giao dịch liên kết: - Chỉ tiêu “Người nộp thuế đã ký thỏa thuận trước về phương pháp xác định giá tính thuế (APA)”: Người nộp thuế đánh dấu “x” vào “Có” nếu đã ký APA đơn phương, song phương hoặc đa phương với Cơ quan thuế Việt Nam.</w:t>
      </w:r>
    </w:p>
    <w:p>
      <w:pPr>
        <w:spacing w:after="120" w:line="360"/>
      </w:pPr>
      <w:r>
        <w:rPr>
          <w:rFonts w:ascii="Times New Roman" w:cs="Times New Roman" w:eastAsia="Times New Roman" w:hAnsi="Times New Roman"/>
          <w:sz w:val="26"/>
          <w:szCs w:val="26"/>
        </w:rPr>
        <w:t xml:space="preserve">Trường hợp người nộp thuế không ký APA với Cơ quan thuế thì đánh dấu “x” vào “Không” và để trống không kê khai các chỉ tiêu tại Cột (4) bảng kết quả sản xuất kinh doanh tại mục này.</w:t>
      </w:r>
    </w:p>
    <w:p>
      <w:pPr>
        <w:spacing w:after="120" w:line="360"/>
      </w:pPr>
      <w:r>
        <w:rPr>
          <w:rFonts w:ascii="Times New Roman" w:cs="Times New Roman" w:eastAsia="Times New Roman" w:hAnsi="Times New Roman"/>
          <w:sz w:val="26"/>
          <w:szCs w:val="26"/>
        </w:rPr>
        <w:t xml:space="preserve">- Người nộp thuế chỉ phát sinh các khoản thu hoặc doanh thu với các bên độc lập chỉ kê khai tại Cột (6) của bảng kết quả sản xuất kinh doanh phù hợp với từng loại hình doanh nghiệp đối với từng chỉ tiêu tương ứng được hướng dẫn tại Phụ lục này.</w:t>
      </w:r>
    </w:p>
    <w:p>
      <w:pPr>
        <w:spacing w:after="120" w:line="360"/>
      </w:pPr>
      <w:r>
        <w:rPr>
          <w:rFonts w:ascii="Times New Roman" w:cs="Times New Roman" w:eastAsia="Times New Roman" w:hAnsi="Times New Roman"/>
          <w:sz w:val="26"/>
          <w:szCs w:val="26"/>
        </w:rPr>
        <w:t xml:space="preserve">1.</w:t>
      </w:r>
    </w:p>
    <w:p>
      <w:pPr>
        <w:spacing w:after="120" w:line="360"/>
      </w:pPr>
      <w:r>
        <w:rPr>
          <w:rFonts w:ascii="Times New Roman" w:cs="Times New Roman" w:eastAsia="Times New Roman" w:hAnsi="Times New Roman"/>
          <w:sz w:val="26"/>
          <w:szCs w:val="26"/>
        </w:rPr>
        <w:t xml:space="preserve">Dành cho người nộp thuế thuộc các ngành sản xuất, thương mại, dịch vụ: a) Trường hợp người nộp thuế đã kê khai đánh dấu (x) vào Cột 3 tại dòng 2a miễn lập Hồ sơ xác định giá giao dịch liên kết của Mục II Phụ lục I kèm theo Nghị định số …../2020/NĐ-CP, thực hiện kê khai theo hướng dẫn như sau: - Các chỉ tiêu tại dòng (1), (2), (3), (4), (5), (6), (7), (8), (8.1), (9), (9.1), (9.1.a), (9.1.b), (10), (11) và (12): + Cột (3), (4) và (5): Người nộp thuế để trống không kê khai.</w:t>
      </w:r>
    </w:p>
    <w:p>
      <w:pPr>
        <w:spacing w:after="120" w:line="360"/>
      </w:pPr>
      <w:r>
        <w:rPr>
          <w:rFonts w:ascii="Times New Roman" w:cs="Times New Roman" w:eastAsia="Times New Roman" w:hAnsi="Times New Roman"/>
          <w:sz w:val="26"/>
          <w:szCs w:val="26"/>
        </w:rPr>
        <w:t xml:space="preserve">+ Cột (6): Ghi giá trị được xác định từ số liệu tại Báo cáo tài chính.</w:t>
      </w:r>
    </w:p>
    <w:p>
      <w:pPr>
        <w:spacing w:after="120" w:line="360"/>
      </w:pPr>
      <w:r>
        <w:rPr>
          <w:rFonts w:ascii="Times New Roman" w:cs="Times New Roman" w:eastAsia="Times New Roman" w:hAnsi="Times New Roman"/>
          <w:sz w:val="26"/>
          <w:szCs w:val="26"/>
        </w:rPr>
        <w:t xml:space="preserve">- Các chỉ tiêu tại dòng (13), (14), (15), (15.1), (15.2), (15.3), (15.4), (15.5) và (16) xác định và tính toán theo quy định tại điểm a, điểm b khoản 3 Điều 16 Nghị định số …../2020/NĐ-CP.</w:t>
      </w:r>
    </w:p>
    <w:p>
      <w:pPr>
        <w:spacing w:after="120" w:line="360"/>
      </w:pPr>
      <w:r>
        <w:rPr>
          <w:rFonts w:ascii="Times New Roman" w:cs="Times New Roman" w:eastAsia="Times New Roman" w:hAnsi="Times New Roman"/>
          <w:sz w:val="26"/>
          <w:szCs w:val="26"/>
        </w:rPr>
        <w:t xml:space="preserve">- Chỉ tiêu tại dòng (17): Người nộp thuế để trống không kê khai.</w:t>
      </w:r>
    </w:p>
    <w:p>
      <w:pPr>
        <w:spacing w:after="120" w:line="360"/>
      </w:pPr>
      <w:r>
        <w:rPr>
          <w:rFonts w:ascii="Times New Roman" w:cs="Times New Roman" w:eastAsia="Times New Roman" w:hAnsi="Times New Roman"/>
          <w:sz w:val="26"/>
          <w:szCs w:val="26"/>
        </w:rPr>
        <w:t xml:space="preserve">b) Trường hợp người nộp thuế đã kê khai đánh dấu (x) vào Cột 3 tại dòng 2c miễn lập Hồ sơ xác định giá giao dịch liên kết của Mục II Phụ lục I kèm theo Nghị định số …../2020/NĐ-CP, thực hiện kê khai theo hướng dẫn như sau: - Các chỉ tiêu tại dòng (1), (2), (3), (4), (5), (6), (7), (8), (8.1), (9), (9.1), (9.1.a), (9.1.b), (10), (11) và (12): + Cột (3), (4) và (5): Người nộp thuế để trống không kê khai.</w:t>
      </w:r>
    </w:p>
    <w:p>
      <w:pPr>
        <w:spacing w:after="120" w:line="360"/>
      </w:pPr>
      <w:r>
        <w:rPr>
          <w:rFonts w:ascii="Times New Roman" w:cs="Times New Roman" w:eastAsia="Times New Roman" w:hAnsi="Times New Roman"/>
          <w:sz w:val="26"/>
          <w:szCs w:val="26"/>
        </w:rPr>
        <w:t xml:space="preserve">+ Cột (6): Ghi giá trị được xác định từ số liệu tại Báo cáo tài chính.</w:t>
      </w:r>
    </w:p>
    <w:p>
      <w:pPr>
        <w:spacing w:after="120" w:line="360"/>
      </w:pPr>
      <w:r>
        <w:rPr>
          <w:rFonts w:ascii="Times New Roman" w:cs="Times New Roman" w:eastAsia="Times New Roman" w:hAnsi="Times New Roman"/>
          <w:sz w:val="26"/>
          <w:szCs w:val="26"/>
        </w:rPr>
        <w:t xml:space="preserve">- Các chỉ tiêu tại dòng (13), (14), (15), (15.1), (15.2), (15.3), (15.4), (15.5) và (16) xác định và tính toán theo quy định tại điểm a, điểm b khoản 3 Điều 16 Nghị định số …../2020/NĐ-CP.</w:t>
      </w:r>
    </w:p>
    <w:p>
      <w:pPr>
        <w:spacing w:after="120" w:line="360"/>
      </w:pPr>
      <w:r>
        <w:rPr>
          <w:rFonts w:ascii="Times New Roman" w:cs="Times New Roman" w:eastAsia="Times New Roman" w:hAnsi="Times New Roman"/>
          <w:sz w:val="26"/>
          <w:szCs w:val="26"/>
        </w:rPr>
        <w:t xml:space="preserve">- Chỉ tiêu “Tỷ suất lợi nhuận sử dụng xác định giá giao dịch liên kết” + Cột (2): Ghi các tỷ suất lợi nhuận thuần từ hoạt động sản xuất kinh doanh trong kỳ không bao gồm chênh lệch doanh thu và chi phí của hoạt động tài chính trên doanh thu thuần tại các dòng chỉ tiêu (17.1), (17.2), (17.3), (17...) theo quy định tại điểm c khoản 2 Điều 19 Nghị định số …../2020/NĐ-CP.</w:t>
      </w:r>
    </w:p>
    <w:p>
      <w:pPr>
        <w:spacing w:after="120" w:line="360"/>
      </w:pPr>
      <w:r>
        <w:rPr>
          <w:rFonts w:ascii="Times New Roman" w:cs="Times New Roman" w:eastAsia="Times New Roman" w:hAnsi="Times New Roman"/>
          <w:sz w:val="26"/>
          <w:szCs w:val="26"/>
        </w:rPr>
        <w:t xml:space="preserve">+ Cột (3), (4) và (5): Người nộp thuế để trống không kê khai.</w:t>
      </w:r>
    </w:p>
    <w:p>
      <w:pPr>
        <w:spacing w:after="120" w:line="360"/>
      </w:pPr>
      <w:r>
        <w:rPr>
          <w:rFonts w:ascii="Times New Roman" w:cs="Times New Roman" w:eastAsia="Times New Roman" w:hAnsi="Times New Roman"/>
          <w:sz w:val="26"/>
          <w:szCs w:val="26"/>
        </w:rPr>
        <w:t xml:space="preserve">+ Cột 6: Người nộp thuế kê khai giá trị Lợi nhuận thuần từ hoạt động sản xuất kinh doanh trong kỳ không bao gồm chênh lệch doanh thu và chi phí của hoạt động tài chính trên doanh thu thuần đối với lĩnh vực hoạt động theo quy định tại điểm c khoản 2 Điều 19 Nghị định số …../2020/NĐ-CP.</w:t>
      </w:r>
    </w:p>
    <w:p>
      <w:pPr>
        <w:spacing w:after="120" w:line="360"/>
      </w:pPr>
      <w:r>
        <w:rPr>
          <w:rFonts w:ascii="Times New Roman" w:cs="Times New Roman" w:eastAsia="Times New Roman" w:hAnsi="Times New Roman"/>
          <w:sz w:val="26"/>
          <w:szCs w:val="26"/>
        </w:rPr>
        <w:t xml:space="preserve">Trường hợp người nộp thuế thực hiện kinh doanh nhiều hơn một lĩnh vực, theo dõi, hạch toán riêng doanh thu, chi phí của từng lĩnh vực hoặc theo dõi, hạch toán riêng được doanh thu nhưng không theo dõi, hạch toán riêng được chi phí phát sinh của từng lĩnh vực thực hiện kê khai riêng theo từng lĩnh vực.</w:t>
      </w:r>
    </w:p>
    <w:p>
      <w:pPr>
        <w:spacing w:after="120" w:line="360"/>
      </w:pPr>
      <w:r>
        <w:rPr>
          <w:rFonts w:ascii="Times New Roman" w:cs="Times New Roman" w:eastAsia="Times New Roman" w:hAnsi="Times New Roman"/>
          <w:sz w:val="26"/>
          <w:szCs w:val="26"/>
        </w:rPr>
        <w:t xml:space="preserve">Trường hợp người nộp thuế thực hiện kinh doanh nhiều hơn một lĩnh vực không theo dõi, hạch toán riêng được doanh thu và chi phí của từng lĩnh vực thực hiện kê khai theo lĩnh vực có tỷ suất cao nhất.</w:t>
      </w:r>
    </w:p>
    <w:p>
      <w:pPr>
        <w:spacing w:after="120" w:line="360"/>
      </w:pPr>
      <w:r>
        <w:rPr>
          <w:rFonts w:ascii="Times New Roman" w:cs="Times New Roman" w:eastAsia="Times New Roman" w:hAnsi="Times New Roman"/>
          <w:sz w:val="26"/>
          <w:szCs w:val="26"/>
        </w:rPr>
        <w:t xml:space="preserve">c) Trường hợp người nộp thuế không được miễn lập Hồ sơ xác định giá giao dịch liên kết theo quy định tại điểm a hoặc điểm c khoản 2 Điều 19 Nghị định số …../2020/NĐ-CP, kê khai như sau: - Chỉ tiêu “Doanh thu bán hàng và cung cấp dịch vụ”: + Cột (3) và (4): Ghi tổng giá trị của các giao dịch cung cấp hàng hóa, dịch vụ cho các bên liên kết xác định giá theo Hồ sơ xác định giá giao dịch liên kết tại Cột (3) và theo APA tại Cột (4).</w:t>
      </w:r>
    </w:p>
    <w:p>
      <w:pPr>
        <w:spacing w:after="120" w:line="360"/>
      </w:pPr>
      <w:r>
        <w:rPr>
          <w:rFonts w:ascii="Times New Roman" w:cs="Times New Roman" w:eastAsia="Times New Roman" w:hAnsi="Times New Roman"/>
          <w:sz w:val="26"/>
          <w:szCs w:val="26"/>
        </w:rPr>
        <w:t xml:space="preserve">+ Cột (5): Ghi tổng giá trị của các giao dịch cung cấp hàng hóa, dịch vụ cho các bên độc lập theo giá trị ghi tại sổ kế toán.</w:t>
      </w:r>
    </w:p>
    <w:p>
      <w:pPr>
        <w:spacing w:after="120" w:line="360"/>
      </w:pPr>
      <w:r>
        <w:rPr>
          <w:rFonts w:ascii="Times New Roman" w:cs="Times New Roman" w:eastAsia="Times New Roman" w:hAnsi="Times New Roman"/>
          <w:sz w:val="26"/>
          <w:szCs w:val="26"/>
        </w:rPr>
        <w:t xml:space="preserve">+ Cột (6): Ghi tổng giá trị được xác định theo công thức tính tại Phụ lục I ban hành kèm theo Nghị định số ...../2020/NĐ-CP.</w:t>
      </w:r>
    </w:p>
    <w:p>
      <w:pPr>
        <w:spacing w:after="120" w:line="360"/>
      </w:pPr>
      <w:r>
        <w:rPr>
          <w:rFonts w:ascii="Times New Roman" w:cs="Times New Roman" w:eastAsia="Times New Roman" w:hAnsi="Times New Roman"/>
          <w:sz w:val="26"/>
          <w:szCs w:val="26"/>
        </w:rPr>
        <w:t xml:space="preserve">Các chỉ tiêu “Doanh thu bán hàng hóa, dịch vụ xuất khẩu” và “Các khoản giảm trừ doanh thu”: Người nộp thuế kê khai tương ứng doanh thu bán hàng hóa và cung cấp dịch vụ và ghi theo hướng dẫn tương tự tại chỉ tiêu “Doanh thu bán hàng và cung cấp dịch vụ”.</w:t>
      </w:r>
    </w:p>
    <w:p>
      <w:pPr>
        <w:spacing w:after="120" w:line="360"/>
      </w:pPr>
      <w:r>
        <w:rPr>
          <w:rFonts w:ascii="Times New Roman" w:cs="Times New Roman" w:eastAsia="Times New Roman" w:hAnsi="Times New Roman"/>
          <w:sz w:val="26"/>
          <w:szCs w:val="26"/>
        </w:rPr>
        <w:t xml:space="preserve">- Chỉ tiêu “Doanh thu thuần về bán hàng và cung cấp dịch vụ”: + Cột (3), (4), (5) và (6): Ghi giá trị bằng giá trị tương ứng theo từng cột tại chỉ tiêu “Doanh thu bán hàng và cung cấp dịch vụ” trừ (-) chỉ tiêu “Các khoản giảm trừ doanh thu”.</w:t>
      </w:r>
    </w:p>
    <w:p>
      <w:pPr>
        <w:spacing w:after="120" w:line="360"/>
      </w:pPr>
      <w:r>
        <w:rPr>
          <w:rFonts w:ascii="Times New Roman" w:cs="Times New Roman" w:eastAsia="Times New Roman" w:hAnsi="Times New Roman"/>
          <w:sz w:val="26"/>
          <w:szCs w:val="26"/>
        </w:rPr>
        <w:t xml:space="preserve">- Chỉ tiêu “Giá vốn hàng bán”: + Cột (3) và (4): Ghi tổng giá trị của giá vốn hàng bán tương ứng với doanh thu bán hàng và cung cấp dịch vụ cho các bên liên kết và bằng (=) tổng giá trị phát sinh với các bên liên kết xác định theo Hồ sơ xác định giá giao dịch liên kết và theo APA cộng (+) giá trị giao dịch phát sinh với các bên độc lập ghi tại sổ kế toán.</w:t>
      </w:r>
    </w:p>
    <w:p>
      <w:pPr>
        <w:spacing w:after="120" w:line="360"/>
      </w:pPr>
      <w:r>
        <w:rPr>
          <w:rFonts w:ascii="Times New Roman" w:cs="Times New Roman" w:eastAsia="Times New Roman" w:hAnsi="Times New Roman"/>
          <w:sz w:val="26"/>
          <w:szCs w:val="26"/>
        </w:rPr>
        <w:t xml:space="preserve">+ Cột (5): Ghi tổng giá trị của giá vốn hàng bán tương ứng với doanh thu bán hàng và cung cấp dịch vụ cho các bên độc lập và bằng (=) tổng giá trị phát sinh với các bên liên kết xác định theo Hồ sơ xác định giá giao dịch liên kết và theo APA cộng (+) giá trị giao dịch phát sinh với các bên độc lập ghi tại sổ kế toán.</w:t>
      </w:r>
    </w:p>
    <w:p>
      <w:pPr>
        <w:spacing w:after="120" w:line="360"/>
      </w:pPr>
      <w:r>
        <w:rPr>
          <w:rFonts w:ascii="Times New Roman" w:cs="Times New Roman" w:eastAsia="Times New Roman" w:hAnsi="Times New Roman"/>
          <w:sz w:val="26"/>
          <w:szCs w:val="26"/>
        </w:rPr>
        <w:t xml:space="preserve">+ Cột (6): Ghi tổng giá trị được xác định theo công thức tính tại Phụ lục I ban hành kèm theo Nghị định số …../2020/NĐ-CP.</w:t>
      </w:r>
    </w:p>
    <w:p>
      <w:pPr>
        <w:spacing w:after="120" w:line="360"/>
      </w:pPr>
      <w:r>
        <w:rPr>
          <w:rFonts w:ascii="Times New Roman" w:cs="Times New Roman" w:eastAsia="Times New Roman" w:hAnsi="Times New Roman"/>
          <w:sz w:val="26"/>
          <w:szCs w:val="26"/>
        </w:rPr>
        <w:t xml:space="preserve">- Chỉ tiêu “Lợi nhuận gộp về bán hàng và cung cấp dịch vụ”: + Cột (3), (4), (5) và (6) có giá trị bằng giá trị tương ứng theo từng cột tại chỉ tiêu “Doanh thu thuần về bán hàng và cung cấp dịch vụ” trừ (-) chỉ tiêu “Giá vốn hàng bán”.</w:t>
      </w:r>
    </w:p>
    <w:p>
      <w:pPr>
        <w:spacing w:after="120" w:line="360"/>
      </w:pPr>
      <w:r>
        <w:rPr>
          <w:rFonts w:ascii="Times New Roman" w:cs="Times New Roman" w:eastAsia="Times New Roman" w:hAnsi="Times New Roman"/>
          <w:sz w:val="26"/>
          <w:szCs w:val="26"/>
        </w:rPr>
        <w:t xml:space="preserve">- Các chỉ tiêu “Chi phí bán hàng” và “Chi phí quản lý doanh nghiệp”: + Cột (3) và (4): Ghi tổng giá trị của chi phí bán hàng, chi phí quản lý doanh nghiệp tương ứng với doanh thu bán hàng và cung cấp dịch vụ cho các bên liên kết bằng (=) tổng giá trị phát sinh với các bên liên kết xác định theo Hồ sơ xác định giá giao dịch liên kết và theo APA cộng (+) giá trị giao dịch phát sinh với các bên độc lập ghi tại sổ kế toán.</w:t>
      </w:r>
    </w:p>
    <w:p>
      <w:pPr>
        <w:spacing w:after="120" w:line="360"/>
      </w:pPr>
      <w:r>
        <w:rPr>
          <w:rFonts w:ascii="Times New Roman" w:cs="Times New Roman" w:eastAsia="Times New Roman" w:hAnsi="Times New Roman"/>
          <w:sz w:val="26"/>
          <w:szCs w:val="26"/>
        </w:rPr>
        <w:t xml:space="preserve">+ Cột (5): Ghi tổng giá trị của chi phí bán hàng, chi phí quản lý doanh nghiệp tương ứng với doanh thu bán hàng và cung cấp dịch vụ cho các bên độc lập bằng (=) tổng giá trị phát sinh với các bên liên kết xác định theo Hồ sơ xác định giá giao dịch liên kết và theo APA cộng (+) giá trị giao dịch phát sinh với các bên độc lập ghi tại sổ kế toán.</w:t>
      </w:r>
    </w:p>
    <w:p>
      <w:pPr>
        <w:spacing w:after="120" w:line="360"/>
      </w:pPr>
      <w:r>
        <w:rPr>
          <w:rFonts w:ascii="Times New Roman" w:cs="Times New Roman" w:eastAsia="Times New Roman" w:hAnsi="Times New Roman"/>
          <w:sz w:val="26"/>
          <w:szCs w:val="26"/>
        </w:rPr>
        <w:t xml:space="preserve">+ Cột (6): Ghi tổng giá trị được xác định theo công thức tính tại Phụ lục I ban hành kèm theo Nghị định số ………/2020/NĐ-CP.</w:t>
      </w:r>
    </w:p>
    <w:p>
      <w:pPr>
        <w:spacing w:after="120" w:line="360"/>
      </w:pPr>
      <w:r>
        <w:rPr>
          <w:rFonts w:ascii="Times New Roman" w:cs="Times New Roman" w:eastAsia="Times New Roman" w:hAnsi="Times New Roman"/>
          <w:sz w:val="26"/>
          <w:szCs w:val="26"/>
        </w:rPr>
        <w:t xml:space="preserve">- Đối với các chỉ tiêu chi phí phát sinh trong hoạt động sản xuất kinh doanh, người nộp thuế theo dõi hạch toán và ghi giá trị hạch toán, xác định riêng đối với chi phí từ bên liên kết thuộc phạm vi xác định giá theo Hồ sơ xác định giá giao dịch liên kết; theo APA và giao dịch với các bên độc lập tương ứng với cột (3), (4) và (5).</w:t>
      </w:r>
    </w:p>
    <w:p>
      <w:pPr>
        <w:spacing w:after="120" w:line="360"/>
      </w:pPr>
      <w:r>
        <w:rPr>
          <w:rFonts w:ascii="Times New Roman" w:cs="Times New Roman" w:eastAsia="Times New Roman" w:hAnsi="Times New Roman"/>
          <w:sz w:val="26"/>
          <w:szCs w:val="26"/>
        </w:rPr>
        <w:t xml:space="preserve">Trường hợp không xác định riêng được thì người nộp thuế lựa chọn tiêu thức phân bổ phù hợp nhất theo một hoặc một số yếu tố như doanh thu, chi phí, tài sản, nhân lực hoặc yếu tố khác phù hợp với bản chất hoạt động và ghi giá trị chi phí phân bổ vào các ô tương ứng (3), (4) và (5).</w:t>
      </w:r>
    </w:p>
    <w:p>
      <w:pPr>
        <w:spacing w:after="120" w:line="360"/>
      </w:pPr>
      <w:r>
        <w:rPr>
          <w:rFonts w:ascii="Times New Roman" w:cs="Times New Roman" w:eastAsia="Times New Roman" w:hAnsi="Times New Roman"/>
          <w:sz w:val="26"/>
          <w:szCs w:val="26"/>
        </w:rPr>
        <w:t xml:space="preserve">- Chỉ tiêu “Doanh thu hoạt động tài chính”: + Cột (3), (4) và (5): Người nộp thuế để trống không kê khai.</w:t>
      </w:r>
    </w:p>
    <w:p>
      <w:pPr>
        <w:spacing w:after="120" w:line="360"/>
      </w:pPr>
      <w:r>
        <w:rPr>
          <w:rFonts w:ascii="Times New Roman" w:cs="Times New Roman" w:eastAsia="Times New Roman" w:hAnsi="Times New Roman"/>
          <w:sz w:val="26"/>
          <w:szCs w:val="26"/>
        </w:rPr>
        <w:t xml:space="preserve">+ Cột (6): Ghi tổng giá trị doanh thu hoạt động tài chính.</w:t>
      </w:r>
    </w:p>
    <w:p>
      <w:pPr>
        <w:spacing w:after="120" w:line="360"/>
      </w:pPr>
      <w:r>
        <w:rPr>
          <w:rFonts w:ascii="Times New Roman" w:cs="Times New Roman" w:eastAsia="Times New Roman" w:hAnsi="Times New Roman"/>
          <w:sz w:val="26"/>
          <w:szCs w:val="26"/>
        </w:rPr>
        <w:t xml:space="preserve">- Chỉ tiêu “Lãi tiền gửi và lãi cho vay”: Ghi giá trị tiền lãi thu được từ hoạt động cho vay tính vào doanh thu hoạt động tài chính trong kỳ.</w:t>
      </w:r>
    </w:p>
    <w:p>
      <w:pPr>
        <w:spacing w:after="120" w:line="360"/>
      </w:pPr>
      <w:r>
        <w:rPr>
          <w:rFonts w:ascii="Times New Roman" w:cs="Times New Roman" w:eastAsia="Times New Roman" w:hAnsi="Times New Roman"/>
          <w:sz w:val="26"/>
          <w:szCs w:val="26"/>
        </w:rPr>
        <w:t xml:space="preserve">+ Cột (3), (4) và (5): Người nộp thuế để trống không kê khai.</w:t>
      </w:r>
    </w:p>
    <w:p>
      <w:pPr>
        <w:spacing w:after="120" w:line="360"/>
      </w:pPr>
      <w:r>
        <w:rPr>
          <w:rFonts w:ascii="Times New Roman" w:cs="Times New Roman" w:eastAsia="Times New Roman" w:hAnsi="Times New Roman"/>
          <w:sz w:val="26"/>
          <w:szCs w:val="26"/>
        </w:rPr>
        <w:t xml:space="preserve">+ Cột (6): Ghi tổng giá trị theo xác định tại Hồ sơ xác định giá giao dịch liên kết, theo APA đối với giao dịch phát sinh với các bên liên kết và giá trị ghi tại sổ kế toán đối với giao dịch phát sinh với các bên độc lập.</w:t>
      </w:r>
    </w:p>
    <w:p>
      <w:pPr>
        <w:spacing w:after="120" w:line="360"/>
      </w:pPr>
      <w:r>
        <w:rPr>
          <w:rFonts w:ascii="Times New Roman" w:cs="Times New Roman" w:eastAsia="Times New Roman" w:hAnsi="Times New Roman"/>
          <w:sz w:val="26"/>
          <w:szCs w:val="26"/>
        </w:rPr>
        <w:t xml:space="preserve">- Chỉ tiêu “Chi phí tài chính”: + Cột (3), (4) và (5): Người nộp thuế để trống không kê khai.</w:t>
      </w:r>
    </w:p>
    <w:p>
      <w:pPr>
        <w:spacing w:after="120" w:line="360"/>
      </w:pPr>
      <w:r>
        <w:rPr>
          <w:rFonts w:ascii="Times New Roman" w:cs="Times New Roman" w:eastAsia="Times New Roman" w:hAnsi="Times New Roman"/>
          <w:sz w:val="26"/>
          <w:szCs w:val="26"/>
        </w:rPr>
        <w:t xml:space="preserve">+ Cột (6): Ghi tổng giá trị chi phí hoạt động tài chính.</w:t>
      </w:r>
    </w:p>
    <w:p>
      <w:pPr>
        <w:spacing w:after="120" w:line="360"/>
      </w:pPr>
      <w:r>
        <w:rPr>
          <w:rFonts w:ascii="Times New Roman" w:cs="Times New Roman" w:eastAsia="Times New Roman" w:hAnsi="Times New Roman"/>
          <w:sz w:val="26"/>
          <w:szCs w:val="26"/>
        </w:rPr>
        <w:t xml:space="preserve">- Chỉ tiêu “Chi phí lãi tiền vay dùng cho hoạt động sản xuất, kinh doanh”: Ghi giá trị chi phí lãi vay tính vào chi phí tài chính trong kỳ.</w:t>
      </w:r>
    </w:p>
    <w:p>
      <w:pPr>
        <w:spacing w:after="120" w:line="360"/>
      </w:pPr>
      <w:r>
        <w:rPr>
          <w:rFonts w:ascii="Times New Roman" w:cs="Times New Roman" w:eastAsia="Times New Roman" w:hAnsi="Times New Roman"/>
          <w:sz w:val="26"/>
          <w:szCs w:val="26"/>
        </w:rPr>
        <w:t xml:space="preserve">+ Cột (3), (4) và (5): Người nộp thuế để trống không kê khai.</w:t>
      </w:r>
    </w:p>
    <w:p>
      <w:pPr>
        <w:spacing w:after="120" w:line="360"/>
      </w:pPr>
      <w:r>
        <w:rPr>
          <w:rFonts w:ascii="Times New Roman" w:cs="Times New Roman" w:eastAsia="Times New Roman" w:hAnsi="Times New Roman"/>
          <w:sz w:val="26"/>
          <w:szCs w:val="26"/>
        </w:rPr>
        <w:t xml:space="preserve">+ Cột (6): Ghi tổng giá trị theo xác định tại Hồ sơ xác định giá giao dịch liên kết, theo APA đối với giao dịch phát sinh với các bên liên kết và giá trị ghi tại sổ kế toán đối với giao dịch phát sinh với các bên độc lập.</w:t>
      </w:r>
    </w:p>
    <w:p>
      <w:pPr>
        <w:spacing w:after="120" w:line="360"/>
      </w:pPr>
      <w:r>
        <w:rPr>
          <w:rFonts w:ascii="Times New Roman" w:cs="Times New Roman" w:eastAsia="Times New Roman" w:hAnsi="Times New Roman"/>
          <w:sz w:val="26"/>
          <w:szCs w:val="26"/>
        </w:rPr>
        <w:t xml:space="preserve">- Chỉ tiêu “Chi phí khấu hao phát sinh trong kỳ”: + Cột (3), (4) và (5): Người nộp thuế để trống không kê khai.</w:t>
      </w:r>
    </w:p>
    <w:p>
      <w:pPr>
        <w:spacing w:after="120" w:line="360"/>
      </w:pPr>
      <w:r>
        <w:rPr>
          <w:rFonts w:ascii="Times New Roman" w:cs="Times New Roman" w:eastAsia="Times New Roman" w:hAnsi="Times New Roman"/>
          <w:sz w:val="26"/>
          <w:szCs w:val="26"/>
        </w:rPr>
        <w:t xml:space="preserve">+ Cột (6): Ghi tổng giá trị chi phí khấu hao đã tính vào chi phí trong kỳ và được xác định bằng tổng giá trị chi phí khấu hao đã tính vào giá vốn hàng bán, chi phí bán hàng và chi phí quản lý doanh nghiệp.</w:t>
      </w:r>
    </w:p>
    <w:p>
      <w:pPr>
        <w:spacing w:after="120" w:line="360"/>
      </w:pPr>
      <w:r>
        <w:rPr>
          <w:rFonts w:ascii="Times New Roman" w:cs="Times New Roman" w:eastAsia="Times New Roman" w:hAnsi="Times New Roman"/>
          <w:sz w:val="26"/>
          <w:szCs w:val="26"/>
        </w:rPr>
        <w:t xml:space="preserve">- Chỉ tiêu “Lợi nhuận thuần từ hoạt động sản xuất kinh doanh trong kỳ”: + Cột (3), (4) và (5): Người nộp thuế để trống không kê khai.</w:t>
      </w:r>
    </w:p>
    <w:p>
      <w:pPr>
        <w:spacing w:after="120" w:line="360"/>
      </w:pPr>
      <w:r>
        <w:rPr>
          <w:rFonts w:ascii="Times New Roman" w:cs="Times New Roman" w:eastAsia="Times New Roman" w:hAnsi="Times New Roman"/>
          <w:sz w:val="26"/>
          <w:szCs w:val="26"/>
        </w:rPr>
        <w:t xml:space="preserve">+ Cột (6): Ghi giá trị bằng giá trị tương ứng theo từng cột tại chỉ tiêu “Lợi nhuận gộp về bán hàng và cung cấp dịch vụ” trừ (-) chỉ tiêu “Chi phí bán hàng” trừ (-) chỉ tiêu “Chi phí quản lý doanh nghiệp” cộng (+) chỉ tiêu “Doanh thu tài chính” trừ (-) chỉ tiêu “Chi phí tài chính”.</w:t>
      </w:r>
    </w:p>
    <w:p>
      <w:pPr>
        <w:spacing w:after="120" w:line="360"/>
      </w:pPr>
      <w:r>
        <w:rPr>
          <w:rFonts w:ascii="Times New Roman" w:cs="Times New Roman" w:eastAsia="Times New Roman" w:hAnsi="Times New Roman"/>
          <w:sz w:val="26"/>
          <w:szCs w:val="26"/>
        </w:rPr>
        <w:t xml:space="preserve">- Chỉ tiêu “Lợi nhuận thuần từ hoạt động sản xuất kinh doanh trong kỳ không bao gồm chênh lệch doanh thu và chi phí của hoạt động tài chính”: + Cột (3), (4), (5) và (6): Ghi giá trị bằng giá trị tương ứng theo từng cột tại chỉ tiêu “Lợi nhuận gộp về bán hàng và cung cấp dịch vụ” trừ (-) chỉ tiêu “Chi phí bán hàng” trừ (-) chỉ tiêu “Chi phí quản lý doanh nghiệp”.</w:t>
      </w:r>
    </w:p>
    <w:p>
      <w:pPr>
        <w:spacing w:after="120" w:line="360"/>
      </w:pPr>
      <w:r>
        <w:rPr>
          <w:rFonts w:ascii="Times New Roman" w:cs="Times New Roman" w:eastAsia="Times New Roman" w:hAnsi="Times New Roman"/>
          <w:sz w:val="26"/>
          <w:szCs w:val="26"/>
        </w:rPr>
        <w:t xml:space="preserve">- Chỉ tiêu “Tổng lợi nhuận thuần từ hoạt động kinh doanh cộng chi phí lãi vay sau khi trừ lãi tiền gửi và lãi cho vay trong kỳ cộng chi phí khấu hao trong kỳ”: + Cột (3), (4) và (5): Người nộp thuế để trống không kê khai.</w:t>
      </w:r>
    </w:p>
    <w:p>
      <w:pPr>
        <w:spacing w:after="120" w:line="360"/>
      </w:pPr>
      <w:r>
        <w:rPr>
          <w:rFonts w:ascii="Times New Roman" w:cs="Times New Roman" w:eastAsia="Times New Roman" w:hAnsi="Times New Roman"/>
          <w:sz w:val="26"/>
          <w:szCs w:val="26"/>
        </w:rPr>
        <w:t xml:space="preserve">+ Cột (6): Ghi giá trị bằng giá trị chỉ tiêu “Lợi nhuận thuần từ hoạt động sản xuất kinh doanh” cộng (+) chỉ tiêu “Chi phí lãi vay” trừ (-) chỉ tiêu “Lãi tiền gửi và lãi cho vay” cộng (+) chỉ tiêu “Chi phí khấu hao”.</w:t>
      </w:r>
    </w:p>
    <w:p>
      <w:pPr>
        <w:spacing w:after="120" w:line="360"/>
      </w:pPr>
      <w:r>
        <w:rPr>
          <w:rFonts w:ascii="Times New Roman" w:cs="Times New Roman" w:eastAsia="Times New Roman" w:hAnsi="Times New Roman"/>
          <w:sz w:val="26"/>
          <w:szCs w:val="26"/>
        </w:rPr>
        <w:t xml:space="preserve">- Chỉ tiêu “Tỷ lệ chi phí lãi vay sau khi trừ lãi tiền gửi và lãi cho vay phát sinh trong kỳ trên tổng lợi nhuận thuần từ hoạt động kinh doanh cộng chi phí lãi vay sau khi trừ lãi tiền gửi và lãi cho vay trong kỳ cộng chi phí khấu hao trong kỳ”: + Cột (3), (4) và (5): Người nộp thuế để trống không kê khai.</w:t>
      </w:r>
    </w:p>
    <w:p>
      <w:pPr>
        <w:spacing w:after="120" w:line="360"/>
      </w:pPr>
      <w:r>
        <w:rPr>
          <w:rFonts w:ascii="Times New Roman" w:cs="Times New Roman" w:eastAsia="Times New Roman" w:hAnsi="Times New Roman"/>
          <w:sz w:val="26"/>
          <w:szCs w:val="26"/>
        </w:rPr>
        <w:t xml:space="preserve">+ Cột (6): Ghi giá trị tỷ lệ phần trăm bằng (=) giá trị [chỉ tiêu “Chi phí lãi tiền vay” trừ (-) chỉ tiêu “Lãi tiền gửi và lãi cho vay”] chia (:) giá trị chỉ tiêu “Tổng lợi nhuận thuần từ hoạt động kinh doanh cộng chi phí lãi vay sau khi trừ lãi tiền gửi và lãi cho vay trong kỳ cộng chi phí khấu hao trong kỳ”.</w:t>
      </w:r>
    </w:p>
    <w:p>
      <w:pPr>
        <w:spacing w:after="120" w:line="360"/>
      </w:pPr>
      <w:r>
        <w:rPr>
          <w:rFonts w:ascii="Times New Roman" w:cs="Times New Roman" w:eastAsia="Times New Roman" w:hAnsi="Times New Roman"/>
          <w:sz w:val="26"/>
          <w:szCs w:val="26"/>
        </w:rPr>
        <w:t xml:space="preserve">- Chỉ tiêu “Tỷ suất lợi nhuận sử dụng xác định giá giao dịch liên kết”: + Cột (2): Ghi các tỷ suất lợi nhuận áp dụng để điều chỉnh, xác định giá giao dịch liên kết tại các dòng chỉ tiêu (17.1), (17.2), (17.3),...</w:t>
      </w:r>
    </w:p>
    <w:p>
      <w:pPr>
        <w:spacing w:after="120" w:line="360"/>
      </w:pPr>
      <w:r>
        <w:rPr>
          <w:rFonts w:ascii="Times New Roman" w:cs="Times New Roman" w:eastAsia="Times New Roman" w:hAnsi="Times New Roman"/>
          <w:sz w:val="26"/>
          <w:szCs w:val="26"/>
        </w:rPr>
        <w:t xml:space="preserve">tương ứng với phương pháp xác định giá giao dịch liên kết theo quy định tại Điều 13, Điều 14, Điều 15 Nghị định số ...../2020/NĐ-CP.</w:t>
      </w:r>
    </w:p>
    <w:p>
      <w:pPr>
        <w:spacing w:after="120" w:line="360"/>
      </w:pPr>
      <w:r>
        <w:rPr>
          <w:rFonts w:ascii="Times New Roman" w:cs="Times New Roman" w:eastAsia="Times New Roman" w:hAnsi="Times New Roman"/>
          <w:sz w:val="26"/>
          <w:szCs w:val="26"/>
        </w:rPr>
        <w:t xml:space="preserve">+ Cột (3) và (4): Ghi giá trị tỷ suất lợi nhuận sử dụng xác định giá giao dịch liên kết theo Hồ sơ xác định giá giao dịch liên kết tại Cột (3) và theo APA tại Cột (4).</w:t>
      </w:r>
    </w:p>
    <w:p>
      <w:pPr>
        <w:spacing w:after="120" w:line="360"/>
      </w:pPr>
      <w:r>
        <w:rPr>
          <w:rFonts w:ascii="Times New Roman" w:cs="Times New Roman" w:eastAsia="Times New Roman" w:hAnsi="Times New Roman"/>
          <w:sz w:val="26"/>
          <w:szCs w:val="26"/>
        </w:rPr>
        <w:t xml:space="preserve">+ Cột (5) và (6): Người nộp thuế để trống không kê khai.</w:t>
      </w:r>
    </w:p>
    <w:p>
      <w:pPr>
        <w:spacing w:after="120" w:line="360"/>
      </w:pPr>
      <w:r>
        <w:rPr>
          <w:rFonts w:ascii="Times New Roman" w:cs="Times New Roman" w:eastAsia="Times New Roman" w:hAnsi="Times New Roman"/>
          <w:sz w:val="26"/>
          <w:szCs w:val="26"/>
        </w:rPr>
        <w:t xml:space="preserve">Ví dụ: + Người nộp thuế sử dụng phương pháp so sánh tỷ suất lợi nhuận thuần và áp dụng Lợi nhuận thuần từ hoạt động sản xuất kinh doanh trong kỳ không bao gồm chênh lệch doanh thu và chi phí của hoạt động tài chính trên tổng chi phí để xác định lợi nhuận thuần trong kỳ tính thuế, tại Cột (2) chỉ tiêu (17.1): Ghi Lợi nhuận thuần từ hoạt động sản xuất kinh doanh trong kỳ không bao gồm chênh lệch doanh thu và chi phí của hoạt động tài chính trên tổng chi phí và kê khai mức tỷ suất tương ứng theo Hồ sơ xác định giá giao dịch liên kết tại Cột (3) và theo APA tại Cột (4).</w:t>
      </w:r>
    </w:p>
    <w:p>
      <w:pPr>
        <w:spacing w:after="120" w:line="360"/>
      </w:pPr>
      <w:r>
        <w:rPr>
          <w:rFonts w:ascii="Times New Roman" w:cs="Times New Roman" w:eastAsia="Times New Roman" w:hAnsi="Times New Roman"/>
          <w:sz w:val="26"/>
          <w:szCs w:val="26"/>
        </w:rPr>
        <w:t xml:space="preserve">+ Người nộp thuế sử dụng phương pháp so sánh tỷ suất lợi nhuận thuần và áp dụng Lợi nhuận thuần từ hoạt động sản xuất kinh doanh trong kỳ không bao gồm chênh lệch doanh thu và chi phí của hoạt động tài chính trên tổng chi phí đối với hoạt động sản xuất theo Hồ sơ xác định giá giao dịch liên kết; Lợi nhuận thuần từ hoạt động sản xuất kinh doanh trong kỳ không bao gồm chênh lệch doanh thu và chi phí của hoạt động tài chính trên doanh thu thuần đối với hoạt động phân phối theo APA, tại Cột (2) chỉ tiêu (17.1) và (17.2): Ghi Lợi nhuận thuần từ hoạt động sản xuất kinh doanh trong kỳ không bao gồm chênh lệch doanh thu và chi phí của hoạt động tài chính trên tổng chi phí đối với hoạt động sản xuất tại chỉ tiêu (17.1) và kê khai tỷ suất tương ứng tại Cột (3); ghi Lợi nhuận thuần từ hoạt động sản xuất kinh doanh trong kỳ không bao gồm chênh lệch doanh thu và chi phí của hoạt động tài chính trên doanh thu thuần đối với hoạt động phân phối tại chỉ tiêu (17.2) và kê khai tỷ suất tương ứng tại Cột (4).</w:t>
      </w:r>
    </w:p>
    <w:p>
      <w:pPr>
        <w:spacing w:after="120" w:line="360"/>
      </w:pPr>
      <w:r>
        <w:rPr>
          <w:rFonts w:ascii="Times New Roman" w:cs="Times New Roman" w:eastAsia="Times New Roman" w:hAnsi="Times New Roman"/>
          <w:sz w:val="26"/>
          <w:szCs w:val="26"/>
        </w:rPr>
        <w:t xml:space="preserve">- Trường hợp người nộp thuế thực hiện nhiều chức năng sản xuất, kinh doanh và Tỷ suất lợi nhuận sử dụng xác định giá giao dịch liên kết khác nhau thì kê khai Kết quả sản xuất kinh doanh sau khi xác định giá giao dịch liên kết riêng đối với từng chức năng sản xuất, kinh doanh.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Dành cho người nộp thuế thuộc các ngành ngân hàng, tín dụng: - Chỉ tiêu “Thu nhập lãi và các khoản thu nhập tương tự”: + Cột (3), (4) và (5): Ghi tổng giá trị của thu nhập lãi và các khoản thu nhập tương tự từ các bên liên kết không ký APA xác định theo Hồ sơ xác định giá giao dịch liên kết tại Cột (3), theo APA tại Cột (4) và theo giá trị ghi sổ kế toán phát sinh với bên độc lập tại Cột (5).</w:t>
      </w:r>
    </w:p>
    <w:p>
      <w:pPr>
        <w:spacing w:after="120" w:line="360"/>
      </w:pPr>
      <w:r>
        <w:rPr>
          <w:rFonts w:ascii="Times New Roman" w:cs="Times New Roman" w:eastAsia="Times New Roman" w:hAnsi="Times New Roman"/>
          <w:sz w:val="26"/>
          <w:szCs w:val="26"/>
        </w:rPr>
        <w:t xml:space="preserve">+ Cột (6): Ghi tổng giá trị được xác định theo công thức tính tại Phụ lục I ban hành kèm theo Nghị định số ………/2020/NĐ-CP.</w:t>
      </w:r>
    </w:p>
    <w:p>
      <w:pPr>
        <w:spacing w:after="120" w:line="360"/>
      </w:pPr>
      <w:r>
        <w:rPr>
          <w:rFonts w:ascii="Times New Roman" w:cs="Times New Roman" w:eastAsia="Times New Roman" w:hAnsi="Times New Roman"/>
          <w:sz w:val="26"/>
          <w:szCs w:val="26"/>
        </w:rPr>
        <w:t xml:space="preserve">- Chỉ tiêu “Chi phí lãi và các khoản chi phí tương tự”: + Cột (3) và (4): Ghi tổng giá trị Chi trả lãi và các khoản chi phí tương tự tương ứng với Thu nhập lãi và các khoản thu nhập tương tự thu được từ các bên liên kết và bằng (=) tổng giá trị phát sinh với các bên liên kết xác định theo Hồ sơ xác định giá giao dịch liên kết và theo APA cộng (+) giá trị giao dịch phát sinh với các bên độc lập ghi tại sổ kế toán.</w:t>
      </w:r>
    </w:p>
    <w:p>
      <w:pPr>
        <w:spacing w:after="120" w:line="360"/>
      </w:pPr>
      <w:r>
        <w:rPr>
          <w:rFonts w:ascii="Times New Roman" w:cs="Times New Roman" w:eastAsia="Times New Roman" w:hAnsi="Times New Roman"/>
          <w:sz w:val="26"/>
          <w:szCs w:val="26"/>
        </w:rPr>
        <w:t xml:space="preserve">+ Cột (5): Ghi tổng giá trị Chi trả lãi và các khoản chi phí tương tự tương ứng với Thu nhập lãi và các khoản thu nhập tương tự thu được từ các bên độc lập bằng (=) tổng giá trị phát sinh với các bên liên kết xác định theo Hồ sơ xác định giá giao dịch liên kết và theo APA cộng (+) giá trị giao dịch phát sinh với các bên độc lập ghi tại sổ kế toán.</w:t>
      </w:r>
    </w:p>
    <w:p>
      <w:pPr>
        <w:spacing w:after="120" w:line="360"/>
      </w:pPr>
      <w:r>
        <w:rPr>
          <w:rFonts w:ascii="Times New Roman" w:cs="Times New Roman" w:eastAsia="Times New Roman" w:hAnsi="Times New Roman"/>
          <w:sz w:val="26"/>
          <w:szCs w:val="26"/>
        </w:rPr>
        <w:t xml:space="preserve">+ Cột (6): Ghi tổng giá trị được xác định theo công thức tính tại Phụ lục I ban hành kèm theo Nghị định số ...../2020/NĐ-CP.</w:t>
      </w:r>
    </w:p>
    <w:p>
      <w:pPr>
        <w:spacing w:after="120" w:line="360"/>
      </w:pPr>
      <w:r>
        <w:rPr>
          <w:rFonts w:ascii="Times New Roman" w:cs="Times New Roman" w:eastAsia="Times New Roman" w:hAnsi="Times New Roman"/>
          <w:sz w:val="26"/>
          <w:szCs w:val="26"/>
        </w:rPr>
        <w:t xml:space="preserve">- Chỉ tiêu “Thu nhập lãi thuần”: Cột (3), (4), (5) và (6): Ghi giá trị bằng (=) giá trị tương ứng theo từng cột tại chỉ tiêu Thu nhập lãi và các khoản thu nhập tương tự trừ (-) chỉ tiêu Chi trả lãi và các khoản chi phí tương tự.</w:t>
      </w:r>
    </w:p>
    <w:p>
      <w:pPr>
        <w:spacing w:after="120" w:line="360"/>
      </w:pPr>
      <w:r>
        <w:rPr>
          <w:rFonts w:ascii="Times New Roman" w:cs="Times New Roman" w:eastAsia="Times New Roman" w:hAnsi="Times New Roman"/>
          <w:sz w:val="26"/>
          <w:szCs w:val="26"/>
        </w:rPr>
        <w:t xml:space="preserve">- Chỉ tiêu “Thu nhập từ hoạt động dịch vụ”: Ghi theo hướng dẫn tương tự tại chỉ tiêu Thu nhập lãi và các khoản thu nhập tương tự.</w:t>
      </w:r>
    </w:p>
    <w:p>
      <w:pPr>
        <w:spacing w:after="120" w:line="360"/>
      </w:pPr>
      <w:r>
        <w:rPr>
          <w:rFonts w:ascii="Times New Roman" w:cs="Times New Roman" w:eastAsia="Times New Roman" w:hAnsi="Times New Roman"/>
          <w:sz w:val="26"/>
          <w:szCs w:val="26"/>
        </w:rPr>
        <w:t xml:space="preserve">- Chỉ tiêu “Chi phí hoạt động dịch vụ”: Ghi theo hướng dẫn tương tự tại chỉ tiêu Chi trả lãi và các khoản chi phí tương tự.</w:t>
      </w:r>
    </w:p>
    <w:p>
      <w:pPr>
        <w:spacing w:after="120" w:line="360"/>
      </w:pPr>
      <w:r>
        <w:rPr>
          <w:rFonts w:ascii="Times New Roman" w:cs="Times New Roman" w:eastAsia="Times New Roman" w:hAnsi="Times New Roman"/>
          <w:sz w:val="26"/>
          <w:szCs w:val="26"/>
        </w:rPr>
        <w:t xml:space="preserve">- Chỉ tiêu “Lãi/lỗ thuần từ hoạt động dịch vụ”: Cột (3), (4), (5) và (6): Ghi giá trị bằng (=) giá trị tương ứng theo từng cột tại chỉ tiêu “Thu nhập từ hoạt động dịch vụ” trừ (-) chỉ tiêu “Chi phí hoạt động dịch vụ”.</w:t>
      </w:r>
    </w:p>
    <w:p>
      <w:pPr>
        <w:spacing w:after="120" w:line="360"/>
      </w:pPr>
      <w:r>
        <w:rPr>
          <w:rFonts w:ascii="Times New Roman" w:cs="Times New Roman" w:eastAsia="Times New Roman" w:hAnsi="Times New Roman"/>
          <w:sz w:val="26"/>
          <w:szCs w:val="26"/>
        </w:rPr>
        <w:t xml:space="preserve">- Các chỉ tiêu “Lãi/lỗ thuần từ hoạt động kinh doanh ngoại hối”, “Lãi/lỗ thuần từ mua bán chứng khoán kinh doanh”, “Lãi/lỗ thuần từ mua bán chứng khoán đầu tư”: Ghi theo hướng dẫn tương tự tại chỉ tiêu “Thu nhập lãi và các khoản thu nhập tương tự”.</w:t>
      </w:r>
    </w:p>
    <w:p>
      <w:pPr>
        <w:spacing w:after="120" w:line="360"/>
      </w:pPr>
      <w:r>
        <w:rPr>
          <w:rFonts w:ascii="Times New Roman" w:cs="Times New Roman" w:eastAsia="Times New Roman" w:hAnsi="Times New Roman"/>
          <w:sz w:val="26"/>
          <w:szCs w:val="26"/>
        </w:rPr>
        <w:t xml:space="preserve">- Chỉ tiêu “Thu nhập từ hoạt động khác”: Ghi theo hướng dẫn tương tự tại chỉ tiêu “Thu nhập lãi và các khoản thu nhập tương tự”.</w:t>
      </w:r>
    </w:p>
    <w:p>
      <w:pPr>
        <w:spacing w:after="120" w:line="360"/>
      </w:pPr>
      <w:r>
        <w:rPr>
          <w:rFonts w:ascii="Times New Roman" w:cs="Times New Roman" w:eastAsia="Times New Roman" w:hAnsi="Times New Roman"/>
          <w:sz w:val="26"/>
          <w:szCs w:val="26"/>
        </w:rPr>
        <w:t xml:space="preserve">- Chỉ tiêu “Chi phí hoạt động khác”: Ghi theo hướng dẫn tương tự tại chỉ tiêu Chi trả lãi và các khoản chi phí tương tự.</w:t>
      </w:r>
    </w:p>
    <w:p>
      <w:pPr>
        <w:spacing w:after="120" w:line="360"/>
      </w:pPr>
      <w:r>
        <w:rPr>
          <w:rFonts w:ascii="Times New Roman" w:cs="Times New Roman" w:eastAsia="Times New Roman" w:hAnsi="Times New Roman"/>
          <w:sz w:val="26"/>
          <w:szCs w:val="26"/>
        </w:rPr>
        <w:t xml:space="preserve">- Chỉ tiêu “Lãi/lỗ thuần từ hoạt động khác”: Cột (3), (4), (5) và (6): Ghi giá trị bằng (=) giá trị tương ứng theo từng cột tại chỉ tiêu “Thu nhập từ hoạt động khác” trừ (-) chỉ tiêu “Chi phí hoạt động khác”.</w:t>
      </w:r>
    </w:p>
    <w:p>
      <w:pPr>
        <w:spacing w:after="120" w:line="360"/>
      </w:pPr>
      <w:r>
        <w:rPr>
          <w:rFonts w:ascii="Times New Roman" w:cs="Times New Roman" w:eastAsia="Times New Roman" w:hAnsi="Times New Roman"/>
          <w:sz w:val="26"/>
          <w:szCs w:val="26"/>
        </w:rPr>
        <w:t xml:space="preserve">- Chỉ tiêu “Thu nhập từ góp vốn, mua cổ phần”: Ghi theo hướng dẫn tương tự tại chỉ tiêu “Thu nhập lãi và các khoản thu nhập tương tự”.</w:t>
      </w:r>
    </w:p>
    <w:p>
      <w:pPr>
        <w:spacing w:after="120" w:line="360"/>
      </w:pPr>
      <w:r>
        <w:rPr>
          <w:rFonts w:ascii="Times New Roman" w:cs="Times New Roman" w:eastAsia="Times New Roman" w:hAnsi="Times New Roman"/>
          <w:sz w:val="26"/>
          <w:szCs w:val="26"/>
        </w:rPr>
        <w:t xml:space="preserve">- Chỉ tiêu “Chi phí hoạt động”: Ghi theo hướng dẫn tương tự tại chỉ tiêu “Chi trả lãi và các khoản chi phí tương tự”.</w:t>
      </w:r>
    </w:p>
    <w:p>
      <w:pPr>
        <w:spacing w:after="120" w:line="360"/>
      </w:pPr>
      <w:r>
        <w:rPr>
          <w:rFonts w:ascii="Times New Roman" w:cs="Times New Roman" w:eastAsia="Times New Roman" w:hAnsi="Times New Roman"/>
          <w:sz w:val="26"/>
          <w:szCs w:val="26"/>
        </w:rPr>
        <w:t xml:space="preserve">- Chỉ tiêu “Chi phí dự phòng rủi ro tín dụng”: + Cột (3), (4) và (5): Ghi tổng giá trị chi phí dự phòng rủi ro tín dụng tương ứng với thu nhập và các khoản thu có tính chất là doanh thu tại Cột (3), (4) và (5) được trích lập dự phòng.</w:t>
      </w:r>
    </w:p>
    <w:p>
      <w:pPr>
        <w:spacing w:after="120" w:line="360"/>
      </w:pPr>
      <w:r>
        <w:rPr>
          <w:rFonts w:ascii="Times New Roman" w:cs="Times New Roman" w:eastAsia="Times New Roman" w:hAnsi="Times New Roman"/>
          <w:sz w:val="26"/>
          <w:szCs w:val="26"/>
        </w:rPr>
        <w:t xml:space="preserve">+ Cột (6): Ghi tổng giá trị được xác định theo công thức tính tại Phụ lục I ban hành kèm theo Nghị định số .../2020/NĐ-CP.</w:t>
      </w:r>
    </w:p>
    <w:p>
      <w:pPr>
        <w:spacing w:after="120" w:line="360"/>
      </w:pPr>
      <w:r>
        <w:rPr>
          <w:rFonts w:ascii="Times New Roman" w:cs="Times New Roman" w:eastAsia="Times New Roman" w:hAnsi="Times New Roman"/>
          <w:sz w:val="26"/>
          <w:szCs w:val="26"/>
        </w:rPr>
        <w:t xml:space="preserve">- Đối với các chỉ tiêu chi phí phát sinh trong hoạt động kinh doanh, người nộp thuế hạch toán, xác định riêng tương ứng với từng khoản thu có tính chất là doanh thu tại các cột (3), (4), (5) và ghi giá trị được hạch toán, xác định riêng.</w:t>
      </w:r>
    </w:p>
    <w:p>
      <w:pPr>
        <w:spacing w:after="120" w:line="360"/>
      </w:pPr>
      <w:r>
        <w:rPr>
          <w:rFonts w:ascii="Times New Roman" w:cs="Times New Roman" w:eastAsia="Times New Roman" w:hAnsi="Times New Roman"/>
          <w:sz w:val="26"/>
          <w:szCs w:val="26"/>
        </w:rPr>
        <w:t xml:space="preserve">Trường hợp không xác định riêng được thì người nộp thuế lựa chọn tiêu thức phân bổ phù hợp nhất theo một hoặc một số yếu tố như doanh thu, chi phí, tài sản, nhân lực hoặc yếu tố khác phù hợp với bản chất hoạt động và ghi giá trị chi phí phân bổ vào các ô tương ứng (3), (4) và (5).</w:t>
      </w:r>
    </w:p>
    <w:p>
      <w:pPr>
        <w:spacing w:after="120" w:line="360"/>
      </w:pPr>
      <w:r>
        <w:rPr>
          <w:rFonts w:ascii="Times New Roman" w:cs="Times New Roman" w:eastAsia="Times New Roman" w:hAnsi="Times New Roman"/>
          <w:sz w:val="26"/>
          <w:szCs w:val="26"/>
        </w:rPr>
        <w:t xml:space="preserve">- Chỉ tiêu “Tổng lợi nhuận trước thuế”: Phản ánh tổng số lợi nhuận thực hiện trước thuế của tổ chức ngân hàng, tín dụng trong kỳ tính thuế và được xác định như sau: + Cột (3), (4), (5) và (6): Ghi giá trị bằng (=) giá trị tương ứng theo từng cột tại chỉ tiêu “Thu nhập lãi thuần” cộng (+) chỉ tiêu “Lãi/lỗ thuần từ hoạt động dịch vụ” cộng (+) chỉ tiêu “Lãi/lỗ thuần từ hoạt động kinh doanh ngoại hối” cộng (+) chỉ tiêu “Lãi/lỗ thuần từ mua bán chứng khoán kinh doanh” cộng (+) chỉ tiêu “Lãi/lỗ thuần từ mua bán chứng khoán đầu tư” cộng (+) chỉ tiêu “Lãi/lỗ thuần từ hoạt động khác” cộng (+) chỉ tiêu “Thu nhập từ góp vốn, mua cổ phần” trừ (-) chỉ tiêu “Chi phí hoạt động” trừ (-) chỉ tiêu “Chi phí dự phòng rủi ro tín dụng”.</w:t>
      </w:r>
    </w:p>
    <w:p>
      <w:pPr>
        <w:spacing w:after="120" w:line="360"/>
      </w:pPr>
      <w:r>
        <w:rPr>
          <w:rFonts w:ascii="Times New Roman" w:cs="Times New Roman" w:eastAsia="Times New Roman" w:hAnsi="Times New Roman"/>
          <w:sz w:val="26"/>
          <w:szCs w:val="26"/>
        </w:rPr>
        <w:t xml:space="preserve">- Chỉ tiêu: “Lợi nhuận thuần từ hoạt động sản xuất kinh doanh”: + Cột (3), (4), (5) và (6): Ghi giá trị bằng giá trị tương ứng theo từng cột tại chỉ tiêu “Tổng lợi nhuận trước thuế” trừ (-) chỉ tiêu “Lãi/lỗ thuần từ hoạt động khác”.</w:t>
      </w:r>
    </w:p>
    <w:p>
      <w:pPr>
        <w:spacing w:after="120" w:line="360"/>
      </w:pPr>
      <w:r>
        <w:rPr>
          <w:rFonts w:ascii="Times New Roman" w:cs="Times New Roman" w:eastAsia="Times New Roman" w:hAnsi="Times New Roman"/>
          <w:sz w:val="26"/>
          <w:szCs w:val="26"/>
        </w:rPr>
        <w:t xml:space="preserve">- Chỉ tiêu “Tỷ suất lợi nhuận sử dụng xác định giá giao dịch liên kết”: + Cột (2): Ghi các tỷ suất lợi nhuận áp dụng để điều chỉnh, xác định giá giao dịch liên kết tại các dòng chỉ tiêu (18.1), (18.2), (18.3) ...</w:t>
      </w:r>
    </w:p>
    <w:p>
      <w:pPr>
        <w:spacing w:after="120" w:line="360"/>
      </w:pPr>
      <w:r>
        <w:rPr>
          <w:rFonts w:ascii="Times New Roman" w:cs="Times New Roman" w:eastAsia="Times New Roman" w:hAnsi="Times New Roman"/>
          <w:sz w:val="26"/>
          <w:szCs w:val="26"/>
        </w:rPr>
        <w:t xml:space="preserve">tương ứng với phương pháp xác định giá giao dịch liên kết theo quy định tại Điều 13, Điều 14, Điều 15 Nghị định số ……../2020/NĐ-CP: + Cột (3) và (4): Ghi giá trị tỷ suất lợi nhuận áp dụng xác định giá giao dịch liên kết theo Hồ sơ xác định giá giao dịch liên kết tại Cột (3) và theo APA tại Cột (4).</w:t>
      </w:r>
    </w:p>
    <w:p>
      <w:pPr>
        <w:spacing w:after="120" w:line="360"/>
      </w:pPr>
      <w:r>
        <w:rPr>
          <w:rFonts w:ascii="Times New Roman" w:cs="Times New Roman" w:eastAsia="Times New Roman" w:hAnsi="Times New Roman"/>
          <w:sz w:val="26"/>
          <w:szCs w:val="26"/>
        </w:rPr>
        <w:t xml:space="preserve">+ Cột (5) và (6): Người nộp thuế để trống không kê khai.</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Dành cho người nộp thuế là các công ty chứng khoán: a) Trường hợp người nộp thuế đã kê khai đánh dấu (x) vào Cột 3 tại dòng 2a Mục II Phụ lục I kèm theo Nghị định số ……./2020/NĐ-CP, thực hiện kê khai theo hướng dẫn như sau: - Các chỉ tiêu tại dòng (1.1.a), (1.1.b), (1.1.c), (1.2), (1.3), (1.4), (1.5), (1.6) , (1.7), (1.8), (1.9), (1.10), (1.11), (2.1.a), (2.1.b), (2.1.c), (2.2), (2.3), (2.4) , (2.5), (2.6), (2.7), (2.8), (2.9), (2.10), (2.11), (2.12), (3.1), (3.2), (3.3), (3.4) , (4.1), (4.2), (4.3), (4.4), (4.5), (5), (6), (7), và (10): + Cột (3), (4) và (5): Người nộp thuế để trống không kê khai.</w:t>
      </w:r>
    </w:p>
    <w:p>
      <w:pPr>
        <w:spacing w:after="120" w:line="360"/>
      </w:pPr>
      <w:r>
        <w:rPr>
          <w:rFonts w:ascii="Times New Roman" w:cs="Times New Roman" w:eastAsia="Times New Roman" w:hAnsi="Times New Roman"/>
          <w:sz w:val="26"/>
          <w:szCs w:val="26"/>
        </w:rPr>
        <w:t xml:space="preserve">+ Cột (6): Ghi giá trị được xác định từ số liệu tại Báo cáo tài chính.</w:t>
      </w:r>
    </w:p>
    <w:p>
      <w:pPr>
        <w:spacing w:after="120" w:line="360"/>
      </w:pPr>
      <w:r>
        <w:rPr>
          <w:rFonts w:ascii="Times New Roman" w:cs="Times New Roman" w:eastAsia="Times New Roman" w:hAnsi="Times New Roman"/>
          <w:sz w:val="26"/>
          <w:szCs w:val="26"/>
        </w:rPr>
        <w:t xml:space="preserve">- Chỉ tiêu tại dòng (15): Người nộp thuế để trống không kê khai.</w:t>
      </w:r>
    </w:p>
    <w:p>
      <w:pPr>
        <w:spacing w:after="120" w:line="360"/>
      </w:pPr>
      <w:r>
        <w:rPr>
          <w:rFonts w:ascii="Times New Roman" w:cs="Times New Roman" w:eastAsia="Times New Roman" w:hAnsi="Times New Roman"/>
          <w:sz w:val="26"/>
          <w:szCs w:val="26"/>
        </w:rPr>
        <w:t xml:space="preserve">b) Trường hợp người nộp thuế không được miễn lập Hồ sơ xác định giá giao dịch liên kết theo quy định tại điểm a khoản 2 Điều 19 Nghị định số …../2020/NĐ-CP, kê khai như sau: - Các chỉ tiêu tại dòng (1.1.a), (1.1.b), (1.1.c), (1.2), (1.3), (1.4), (1.5), (1.6) , (1.7), (1.8), (1.9), (1.10), (1.11), (2.1.a), (2.1.b), (2.1.c), (2.2), (2.3), (2.4) , (2.5), (2.6), (2.7), (2.8), (2.9), (2.10), (2.11), (2.12), (3.1), (3.2), (3.3), (3.4) , (4.1), (4.2), (4.3), (4.4), (4.5), (5), (6) và (10): + Cột (3), (4) và (5): Ghi tổng giá trị của thu nhập lãi và các khoản thu nhập tương tự từ các bên liên kết không ký APA xác định theo Hồ sơ xác định giá giao dịch liên kết tại Cột (3), theo APA tại Cột (4) và theo giá trị ghi sổ kế toán phát sinh với bên độc lập tại Cột (5).</w:t>
      </w:r>
    </w:p>
    <w:p>
      <w:pPr>
        <w:spacing w:after="120" w:line="360"/>
      </w:pPr>
      <w:r>
        <w:rPr>
          <w:rFonts w:ascii="Times New Roman" w:cs="Times New Roman" w:eastAsia="Times New Roman" w:hAnsi="Times New Roman"/>
          <w:sz w:val="26"/>
          <w:szCs w:val="26"/>
        </w:rPr>
        <w:t xml:space="preserve">+ Cột (6): Ghi tổng giá trị được xác định theo công thức tính tại Phụ lục I ban hành kèm theo Nghị định số ...../2020/NĐ-CP.</w:t>
      </w:r>
    </w:p>
    <w:p>
      <w:pPr>
        <w:spacing w:after="120" w:line="360"/>
      </w:pPr>
      <w:r>
        <w:rPr>
          <w:rFonts w:ascii="Times New Roman" w:cs="Times New Roman" w:eastAsia="Times New Roman" w:hAnsi="Times New Roman"/>
          <w:sz w:val="26"/>
          <w:szCs w:val="26"/>
        </w:rPr>
        <w:t xml:space="preserve">- Đối với các chỉ tiêu chi phí phát sinh trong kỳ, người nộp thuế theo dõi hạch toán và ghi giá trị hạch toán, xác định riêng đối với chi phí từ bên liên kết thuộc phạm vi xác định giá theo Hồ sơ xác định giá giao dịch liên kết; theo APA và giao dịch với các bên độc lập tương ứng với cột (3), (4) và (5).</w:t>
      </w:r>
    </w:p>
    <w:p>
      <w:pPr>
        <w:spacing w:after="120" w:line="360"/>
      </w:pPr>
      <w:r>
        <w:rPr>
          <w:rFonts w:ascii="Times New Roman" w:cs="Times New Roman" w:eastAsia="Times New Roman" w:hAnsi="Times New Roman"/>
          <w:sz w:val="26"/>
          <w:szCs w:val="26"/>
        </w:rPr>
        <w:t xml:space="preserve">Trường hợp không xác định riêng được thì người nộp thuế lựa chọn tiêu thức phân bổ phù hợp nhất theo một hoặc một số yếu tố như doanh thu, chi phí, tài sản, nhân lực hoặc yếu tố khác phù hợp với bản chất hoạt động và ghi giá trị chi phí phân bổ vào các ô tương ứng (3), (4) và (5).</w:t>
      </w:r>
    </w:p>
    <w:p>
      <w:pPr>
        <w:spacing w:after="120" w:line="360"/>
      </w:pPr>
      <w:r>
        <w:rPr>
          <w:rFonts w:ascii="Times New Roman" w:cs="Times New Roman" w:eastAsia="Times New Roman" w:hAnsi="Times New Roman"/>
          <w:sz w:val="26"/>
          <w:szCs w:val="26"/>
        </w:rPr>
        <w:t xml:space="preserve">- Chỉ tiêu “Tổng lợi nhuận thuần từ hoạt động kinh doanh trong kỳ cộng chi phí lãi vay sau khi trừ lãi tiền gửi và lãi cho vay phát sinh trong kỳ cộng chi phí khấu hao phát sinh trong kỳ”: + Cột (3), (4) và (5): Người nộp thuế để trống không kê khai.</w:t>
      </w:r>
    </w:p>
    <w:p>
      <w:pPr>
        <w:spacing w:after="120" w:line="360"/>
      </w:pPr>
      <w:r>
        <w:rPr>
          <w:rFonts w:ascii="Times New Roman" w:cs="Times New Roman" w:eastAsia="Times New Roman" w:hAnsi="Times New Roman"/>
          <w:sz w:val="26"/>
          <w:szCs w:val="26"/>
        </w:rPr>
        <w:t xml:space="preserve">+ Cột (6): Ghi giá trị bằng giá trị chỉ tiêu “Kết quả hoạt động” cộng (+) chỉ tiêu “Tổng Chi phí lãi vay phát sinh trong kỳ” trừ (-) “Tổng lãi tiền gửi và lãi cho vay phát sinh trong kỳ” cộng (+) chỉ tiêu “Chi phí khấu hao phát sinh trong kỳ”.</w:t>
      </w:r>
    </w:p>
    <w:p>
      <w:pPr>
        <w:spacing w:after="120" w:line="360"/>
      </w:pPr>
      <w:r>
        <w:rPr>
          <w:rFonts w:ascii="Times New Roman" w:cs="Times New Roman" w:eastAsia="Times New Roman" w:hAnsi="Times New Roman"/>
          <w:sz w:val="26"/>
          <w:szCs w:val="26"/>
        </w:rPr>
        <w:t xml:space="preserve">- Chỉ tiêu “Tỷ lệ chi phí lãi vay sau khi trừ lãi tiền gửi và lãi cho vay phát sinh trong kỳ trên tổng lợi nhuận thuần từ hoạt động kinh doanh cộng chi phí lãi vay sau khi trừ lãi tiền gửi và lãi cho vay trong kỳ cộng chi phí khấu hao phát sinh trong kỳ”: + Cột (3), (4) và (5): Người nộp thuế để trống không kê khai.</w:t>
      </w:r>
    </w:p>
    <w:p>
      <w:pPr>
        <w:spacing w:after="120" w:line="360"/>
      </w:pPr>
      <w:r>
        <w:rPr>
          <w:rFonts w:ascii="Times New Roman" w:cs="Times New Roman" w:eastAsia="Times New Roman" w:hAnsi="Times New Roman"/>
          <w:sz w:val="26"/>
          <w:szCs w:val="26"/>
        </w:rPr>
        <w:t xml:space="preserve">+ Cột (6): Ghi giá trị tỷ lệ phần trăm bằng (=) giá trị [chỉ tiêu “Tổng Chi phí lãi tiền vay” trừ (-) chỉ tiêu “Tổng lãi tiền gửi và lãi cho vay”] chia (:) giá trị chỉ tiêu “Lợi nhuận thuần từ hoạt động kinh doanh cộng chi phí lãi vay cộng chi phí khấu hao phát sinh trong kỳ”.</w:t>
      </w:r>
    </w:p>
    <w:p>
      <w:pPr>
        <w:spacing w:after="120" w:line="360"/>
      </w:pPr>
      <w:r>
        <w:rPr>
          <w:rFonts w:ascii="Times New Roman" w:cs="Times New Roman" w:eastAsia="Times New Roman" w:hAnsi="Times New Roman"/>
          <w:sz w:val="26"/>
          <w:szCs w:val="26"/>
        </w:rPr>
        <w:t xml:space="preserve">- Chỉ tiêu “Tỷ suất lợi nhuận sử dụng xác định giá giao dịch liên kết”: + Cột (2): Ghi các tỷ suất lợi nhuận áp dụng để điều chỉnh, xác định giá giao dịch liên kết tại các dòng chỉ tiêu (15.1), (15.2) (15.3), ...</w:t>
      </w:r>
    </w:p>
    <w:p>
      <w:pPr>
        <w:spacing w:after="120" w:line="360"/>
      </w:pPr>
      <w:r>
        <w:rPr>
          <w:rFonts w:ascii="Times New Roman" w:cs="Times New Roman" w:eastAsia="Times New Roman" w:hAnsi="Times New Roman"/>
          <w:sz w:val="26"/>
          <w:szCs w:val="26"/>
        </w:rPr>
        <w:t xml:space="preserve">tương ứng với phương pháp xác định giá giao dịch liên kết theo quy định tại khoản 2 và 3 Điều 13, Điều 14, Điều 15 Nghị định số ...../2020/NĐ-CP.</w:t>
      </w:r>
    </w:p>
    <w:p>
      <w:pPr>
        <w:spacing w:after="120" w:line="360"/>
      </w:pPr>
      <w:r>
        <w:rPr>
          <w:rFonts w:ascii="Times New Roman" w:cs="Times New Roman" w:eastAsia="Times New Roman" w:hAnsi="Times New Roman"/>
          <w:sz w:val="26"/>
          <w:szCs w:val="26"/>
        </w:rPr>
        <w:t xml:space="preserve">+ Cột (3) và (4): Ghi giá trị tỷ suất lợi nhuận áp dụng xác định giá giao dịch liên kết theo Hồ sơ xác định giá giao dịch liên kết tại Cột (3) và theo APA tại Cột (4).</w:t>
      </w:r>
    </w:p>
    <w:p>
      <w:pPr>
        <w:spacing w:after="120" w:line="360"/>
      </w:pPr>
      <w:r>
        <w:rPr>
          <w:rFonts w:ascii="Times New Roman" w:cs="Times New Roman" w:eastAsia="Times New Roman" w:hAnsi="Times New Roman"/>
          <w:sz w:val="26"/>
          <w:szCs w:val="26"/>
        </w:rPr>
        <w:t xml:space="preserve">+ Cột (5) và (6): Người nộp thuế để trống không kê khai.</w:t>
      </w:r>
    </w:p>
    <w:p>
      <w:pPr>
        <w:spacing w:after="120" w:line="360"/>
      </w:pPr>
      <w:r>
        <w:rPr>
          <w:rFonts w:ascii="Times New Roman" w:cs="Times New Roman" w:eastAsia="Times New Roman" w:hAnsi="Times New Roman"/>
          <w:sz w:val="26"/>
          <w:szCs w:val="26"/>
        </w:rPr>
        <w:t xml:space="preserve">PHỤ LỤC II (Kèm theo Nghị định số 132/2020/NĐ-CP ngày 05 tháng 11 năm 2020 của Chính phủ) DANH MỤC CÁC THÔNG TIN, TÀI LIỆU CẦN CUNG CẤP TẠI HỒ SƠ QUỐC GIA (Kèm theo Tờ khai quyết toán thuế thu nhập doanh nghiệp) Kỳ tính thuế: Từ ……………… đến………………….</w:t>
      </w:r>
    </w:p>
    <w:p>
      <w:pPr>
        <w:spacing w:after="120" w:line="360"/>
      </w:pPr>
      <w:r>
        <w:rPr>
          <w:rFonts w:ascii="Times New Roman" w:cs="Times New Roman" w:eastAsia="Times New Roman" w:hAnsi="Times New Roman"/>
          <w:sz w:val="26"/>
          <w:szCs w:val="26"/>
        </w:rPr>
        <w:t xml:space="preserve">[01] Tên người nộp thuế …………………………………………………………………..</w:t>
      </w:r>
    </w:p>
    <w:p>
      <w:pPr>
        <w:spacing w:after="120" w:line="360"/>
      </w:pPr>
      <w:r>
        <w:rPr>
          <w:rFonts w:ascii="Times New Roman" w:cs="Times New Roman" w:eastAsia="Times New Roman" w:hAnsi="Times New Roman"/>
          <w:sz w:val="26"/>
          <w:szCs w:val="26"/>
        </w:rPr>
        <w:t xml:space="preserve">[02] Mã số thuế: [03] Địa chỉ: ………………………………………………………………………………..</w:t>
      </w:r>
    </w:p>
    <w:p>
      <w:pPr>
        <w:spacing w:after="120" w:line="360"/>
      </w:pPr>
      <w:r>
        <w:rPr>
          <w:rFonts w:ascii="Times New Roman" w:cs="Times New Roman" w:eastAsia="Times New Roman" w:hAnsi="Times New Roman"/>
          <w:sz w:val="26"/>
          <w:szCs w:val="26"/>
        </w:rPr>
        <w:t xml:space="preserve">[04] Quận/huyện: ………………… [05] Tỉnh/thành phố: ……………………………… [06] Điện thoại: …………………… [07] Fax: …………….</w:t>
      </w:r>
    </w:p>
    <w:p>
      <w:pPr>
        <w:spacing w:after="120" w:line="360"/>
      </w:pPr>
      <w:r>
        <w:rPr>
          <w:rFonts w:ascii="Times New Roman" w:cs="Times New Roman" w:eastAsia="Times New Roman" w:hAnsi="Times New Roman"/>
          <w:sz w:val="26"/>
          <w:szCs w:val="26"/>
        </w:rPr>
        <w:t xml:space="preserve">[08] Email:………………..</w:t>
      </w:r>
    </w:p>
    <w:p>
      <w:pPr>
        <w:spacing w:after="120" w:line="360"/>
      </w:pPr>
      <w:r>
        <w:rPr>
          <w:rFonts w:ascii="Times New Roman" w:cs="Times New Roman" w:eastAsia="Times New Roman" w:hAnsi="Times New Roman"/>
          <w:sz w:val="26"/>
          <w:szCs w:val="26"/>
        </w:rPr>
        <w:t xml:space="preserve">[09] Tên đại lý thuế (nếu có): …………………………………………………………….</w:t>
      </w:r>
    </w:p>
    <w:p>
      <w:pPr>
        <w:spacing w:after="120" w:line="360"/>
      </w:pPr>
      <w:r>
        <w:rPr>
          <w:rFonts w:ascii="Times New Roman" w:cs="Times New Roman" w:eastAsia="Times New Roman" w:hAnsi="Times New Roman"/>
          <w:sz w:val="26"/>
          <w:szCs w:val="26"/>
        </w:rPr>
        <w:t xml:space="preserve">[10] Mã số thuế: Công ty báo cáo các thông tin, tài liệu đã chuẩn bị và lưu trữ theo quy định tại Phụ lục II, như sau: STT Tài liệu Đã lập và lưu Ghi chú 1 Thông tin về người nộp thuế: 1.1 Thông tin cơ cấu quản lý và tổ chức, bao gồm sơ đồ tổ chức, danh sách, thông tin tóm lược các chức danh quản lý của tập đoàn mà người nộp thuế phải báo cáo trực tiếp và địa chỉ văn phòng, trụ sở chính của các chức danh này 1.2 Thông tin chi tiết về hoạt động kinh doanh, chiến lược kinh doanh của người nộp thuế, bao gồm thông tin về việc người nộp thuế có tham gia hoặc chịu tác động vào quá trình, quyết định tái cơ cấu hay chuyển nhượng vốn, chuyển nhượng tài sản của tập đoàn trong năm kê khai 1.3 Thông tin các doanh nghiệp có các sản phẩm, dịch vụ tương đồng trên thị trường trong nước và quốc tế (các đối thủ cạnh tranh chính) 2 Các giao dịch liên kết: với mỗi loại/dòng giao dịch liên kết trọng yếu mà người nộp thuế có liên quan, cung cấp các thông tin sau: 2.1 Mô tả về các giao dịch liên kết trọng yếu (ví dụ cung cấp dịch vụ sản xuất, mua hàng hóa, cung cấp dịch vụ, khoản vay, các bảo lãnh thực hiện và tài chính, nhượng quyền TSVH, v.v...) và bối cảnh mà các giao dịch này được thực hiện 2.2 Giá trị và hóa đơn các khoản thanh toán và được thanh toán trong nội bộ tập đoàn đối với mỗi loại giao dịch liên quan đến công ty con (ví dụ thanh toán và được trả đối với sản phẩm, dịch vụ, bản quyền, lãi vay, v.v...) bị Cơ quan thuế nước ngoài điều chỉnh 2.3 Xác định các bên liên kết liên quan đến các giao dịch liên kết và quan hệ giữa các bên liên kết này 2.4 Bản sao các thỏa thuận, hợp đồng giao dịch liên kết 2.5 Phân tích chức năng và phân tích so sánh chi tiết đối với người nộp thuế và các bên liên kết đối với mỗi loại giao dịch liên kết, bao gồm bất kỳ thay đổi nào so với năm trước đó 2.6 Thuyết minh phương pháp xác định giá giao dịch liên kết phù hợp nhất liên quan đến các dòng giao dịch liên kết và lý do lựa chọn phương pháp xác định giá giao dịch liên kết đề xuất 2.7 Xác định bên liên kết được lựa chọn xác định giá giao dịch liên kết, và giải trình lý do lựa chọn 2.8 Tóm tắt các giả định trọng yếu khi áp dụng phương pháp xác định giá giao dịch liên kết đề xuất 2.9 Giải trình các lý do thực hiện phân tích dữ liệu nhiều năm (nếu có) 2.10 Danh mục và mô tả các đối tượng so sánh độc lập (đối tượng nội bộ và đối tượng bên ngoài) và thông tin, chỉ số tài chính cần thiết phục vụ phân tích giá chuyển nhượng, bao gồm mô tả về phương pháp tìm kiếm dữ liệu so sánh và nguồn thông tin tìm kiếm 2.11 Mô tả các khoản điều chỉnh so sánh đã thực hiện, lý do, tài liệu về kết quả điều chỉnh 2.12 Mô tả lý do và diễn giải việc áp dụng phương pháp xác định giá giao dịch liên kết đề xuất đã tuân thủ nguyên tắc giao dịch độc lập 2.13 Tóm tắt thông tin về các chỉ số, chỉ tiêu, tiêu chí tài chính định lượng và lý do, diễn giải về việc các chỉ tiêu này được sử dụng trong quá trình áp dụng phương pháp xác định giá giao dịch liên kết đề xuất 2.14 Bản sao các Thỏa thuận APA đơn phương và song phương, đa phương và các thỏa thuận khác về thuế liên quan đến các giao dịch liên kết của người nộp thuế mà Cơ quan thuế Việt Nam không phải là một bên tham gia thỏa thuận, ký kết 3 Thông tin tài chính: 3.1 Báo cáo tài chính của năm kê khai của người nộp thuế 3.2 Thông tin và kế hoạch phân bổ và cách thức sử dụng các dữ liệu tài chính khi áp dụng phương pháp xác định giá giao dịch liên kết đề xuất 3.3 Mô tả tóm tắt về các dữ liệu tài chính có liên quan trong quá trình phân tích so sánh và nguồn dữ liệu 3.4 Tóm tắt lý do và giải trình nguyên nhân, kế hoạch kinh doanh, đầu tư và chiến lược phát triển đối với các doanh nghiệp có kết quả kinh doanh thua lỗ từ 03 năm trở lên Công ty xin cam đoan tất cả thông tin đã khai tại mẫu này và các tài liệu gửi kèm là đúng và chịu trách nhiệm trước pháp luật về thông tin đã khai./.</w:t>
      </w:r>
    </w:p>
    <w:p>
      <w:pPr>
        <w:spacing w:after="120" w:line="360"/>
      </w:pPr>
      <w:r>
        <w:rPr>
          <w:rFonts w:ascii="Times New Roman" w:cs="Times New Roman" w:eastAsia="Times New Roman" w:hAnsi="Times New Roman"/>
          <w:sz w:val="26"/>
          <w:szCs w:val="26"/>
        </w:rPr>
        <w:t xml:space="preserve">NHÂN VIÊN ĐẠI LÝ THUẾ Họ và tên:…………..</w:t>
      </w:r>
    </w:p>
    <w:p>
      <w:pPr>
        <w:spacing w:after="120" w:line="360"/>
      </w:pPr>
      <w:r>
        <w:rPr>
          <w:rFonts w:ascii="Times New Roman" w:cs="Times New Roman" w:eastAsia="Times New Roman" w:hAnsi="Times New Roman"/>
          <w:sz w:val="26"/>
          <w:szCs w:val="26"/>
        </w:rPr>
        <w:t xml:space="preserve">Chứng chỉ hành nghề số ……… Ngày …..</w:t>
      </w:r>
    </w:p>
    <w:p>
      <w:pPr>
        <w:spacing w:after="120" w:line="360"/>
      </w:pPr>
      <w:r>
        <w:rPr>
          <w:rFonts w:ascii="Times New Roman" w:cs="Times New Roman" w:eastAsia="Times New Roman" w:hAnsi="Times New Roman"/>
          <w:sz w:val="26"/>
          <w:szCs w:val="26"/>
        </w:rPr>
        <w:t xml:space="preserve">tháng .....</w:t>
      </w:r>
    </w:p>
    <w:p>
      <w:pPr>
        <w:spacing w:after="120" w:line="360"/>
      </w:pPr>
      <w:r>
        <w:rPr>
          <w:rFonts w:ascii="Times New Roman" w:cs="Times New Roman" w:eastAsia="Times New Roman" w:hAnsi="Times New Roman"/>
          <w:sz w:val="26"/>
          <w:szCs w:val="26"/>
        </w:rPr>
        <w:t xml:space="preserve">năm ….</w:t>
      </w:r>
    </w:p>
    <w:p>
      <w:pPr>
        <w:spacing w:after="120" w:line="360"/>
      </w:pPr>
      <w:r>
        <w:rPr>
          <w:rFonts w:ascii="Times New Roman" w:cs="Times New Roman" w:eastAsia="Times New Roman" w:hAnsi="Times New Roman"/>
          <w:sz w:val="26"/>
          <w:szCs w:val="26"/>
        </w:rPr>
        <w:t xml:space="preserve">NGƯỜI NỘP THUẾ hoặc ĐẠI DIỆN HỢP PHÁP CỦA NGƯỜI NỘP THUẾ (Ký, ghi rõ họ tên; chức vụ và đóng dấu (nếu có)) Ghi chú: Những cột chỉ tiêu nào không có thông tin thì bỏ trống.</w:t>
      </w:r>
    </w:p>
    <w:p>
      <w:pPr>
        <w:spacing w:after="120" w:line="360"/>
      </w:pPr>
      <w:r>
        <w:rPr>
          <w:rFonts w:ascii="Times New Roman" w:cs="Times New Roman" w:eastAsia="Times New Roman" w:hAnsi="Times New Roman"/>
          <w:sz w:val="26"/>
          <w:szCs w:val="26"/>
        </w:rPr>
        <w:t xml:space="preserve">PHỤ LỤC III (Kèm theo Nghị định số 132/2020/NĐ-CP ngày 05 tháng 11 năm 2020 của Chính phủ) DANH MỤC CÁC THÔNG TIN, TÀI LIỆU CẦN CUNG CẤP TẠI HỒ SƠ TOÀN CẦU (Kèm theo Tờ khai quyết toán thuế thu nhập doanh nghiệp) Kỳ tính thuế: Từ…………… đến…………..</w:t>
      </w:r>
    </w:p>
    <w:p>
      <w:pPr>
        <w:spacing w:after="120" w:line="360"/>
      </w:pPr>
      <w:r>
        <w:rPr>
          <w:rFonts w:ascii="Times New Roman" w:cs="Times New Roman" w:eastAsia="Times New Roman" w:hAnsi="Times New Roman"/>
          <w:sz w:val="26"/>
          <w:szCs w:val="26"/>
        </w:rPr>
        <w:t xml:space="preserve">[01] Tên người nộp thuế ………………………………………………………… [02] Mã số thuế: [03] Địa chỉ: ………………………………………………………………………..</w:t>
      </w:r>
    </w:p>
    <w:p>
      <w:pPr>
        <w:spacing w:after="120" w:line="360"/>
      </w:pPr>
      <w:r>
        <w:rPr>
          <w:rFonts w:ascii="Times New Roman" w:cs="Times New Roman" w:eastAsia="Times New Roman" w:hAnsi="Times New Roman"/>
          <w:sz w:val="26"/>
          <w:szCs w:val="26"/>
        </w:rPr>
        <w:t xml:space="preserve">[04] Quận/huyện: …………...</w:t>
      </w:r>
    </w:p>
    <w:p>
      <w:pPr>
        <w:spacing w:after="120" w:line="360"/>
      </w:pPr>
      <w:r>
        <w:rPr>
          <w:rFonts w:ascii="Times New Roman" w:cs="Times New Roman" w:eastAsia="Times New Roman" w:hAnsi="Times New Roman"/>
          <w:sz w:val="26"/>
          <w:szCs w:val="26"/>
        </w:rPr>
        <w:t xml:space="preserve">[05] Tỉnh/thành phố: …………………………… [06] Điện thoại: ……………..</w:t>
      </w:r>
    </w:p>
    <w:p>
      <w:pPr>
        <w:spacing w:after="120" w:line="360"/>
      </w:pPr>
      <w:r>
        <w:rPr>
          <w:rFonts w:ascii="Times New Roman" w:cs="Times New Roman" w:eastAsia="Times New Roman" w:hAnsi="Times New Roman"/>
          <w:sz w:val="26"/>
          <w:szCs w:val="26"/>
        </w:rPr>
        <w:t xml:space="preserve">[07] Fax: …………… [08] Email:……………….</w:t>
      </w:r>
    </w:p>
    <w:p>
      <w:pPr>
        <w:spacing w:after="120" w:line="360"/>
      </w:pPr>
      <w:r>
        <w:rPr>
          <w:rFonts w:ascii="Times New Roman" w:cs="Times New Roman" w:eastAsia="Times New Roman" w:hAnsi="Times New Roman"/>
          <w:sz w:val="26"/>
          <w:szCs w:val="26"/>
        </w:rPr>
        <w:t xml:space="preserve">[09] Tên đại lý thuế (nếu có): …………………………………………………….</w:t>
      </w:r>
    </w:p>
    <w:p>
      <w:pPr>
        <w:spacing w:after="120" w:line="360"/>
      </w:pPr>
      <w:r>
        <w:rPr>
          <w:rFonts w:ascii="Times New Roman" w:cs="Times New Roman" w:eastAsia="Times New Roman" w:hAnsi="Times New Roman"/>
          <w:sz w:val="26"/>
          <w:szCs w:val="26"/>
        </w:rPr>
        <w:t xml:space="preserve">[10] Mã số thuế: Công ty báo cáo các thông tin, tài liệu đã chuẩn bị và lưu trữ theo quy định tại Phụ lục III, như sau: STT Tài liệu Đã lập và lưu Ghi chú (1) (2) (3) (4) 1 Cơ cẩu tổ chức: 1.1 Sơ đồ minh họa cơ cấu sở hữu; cơ cấu pháp lý của tập đoàn và vị trí địa lý của các công ty con thuộc tập đoàn đang hoạt động.</w:t>
      </w:r>
    </w:p>
    <w:p>
      <w:pPr>
        <w:spacing w:after="120" w:line="360"/>
      </w:pPr>
      <w:r>
        <w:rPr>
          <w:rFonts w:ascii="Times New Roman" w:cs="Times New Roman" w:eastAsia="Times New Roman" w:hAnsi="Times New Roman"/>
          <w:sz w:val="26"/>
          <w:szCs w:val="26"/>
        </w:rPr>
        <w:t xml:space="preserve">2 Thông tin về hoạt động kinh doanh của tập đoàn gồm: 2.1 Các yếu tố chính và kênh quan trọng tạo lợi nhuận kinh doanh.</w:t>
      </w:r>
    </w:p>
    <w:p>
      <w:pPr>
        <w:spacing w:after="120" w:line="360"/>
      </w:pPr>
      <w:r>
        <w:rPr>
          <w:rFonts w:ascii="Times New Roman" w:cs="Times New Roman" w:eastAsia="Times New Roman" w:hAnsi="Times New Roman"/>
          <w:sz w:val="26"/>
          <w:szCs w:val="26"/>
        </w:rPr>
        <w:t xml:space="preserve">2.2 Mô tả về chuỗi cung ứng của 05 sản phẩm và/hoặc dịch vụ lớn nhất của tập đoàn tính theo doanh thu và bất kỳ hàng hóa và/hoặc dịch vụ nào chiếm hơn 5% doanh thu tập đoàn, bao gồm thông tin về thị trường địa lý chính của các hàng hóa, dịch vụ này.</w:t>
      </w:r>
    </w:p>
    <w:p>
      <w:pPr>
        <w:spacing w:after="120" w:line="360"/>
      </w:pPr>
      <w:r>
        <w:rPr>
          <w:rFonts w:ascii="Times New Roman" w:cs="Times New Roman" w:eastAsia="Times New Roman" w:hAnsi="Times New Roman"/>
          <w:sz w:val="26"/>
          <w:szCs w:val="26"/>
        </w:rPr>
        <w:t xml:space="preserve">Mô tả có thể dưới hình thức sơ đồ hoặc biểu đồ 2.3 Danh sách và mô tả ngắn gọn các thỏa thuận dịch vụ trọng yếu giữa các thành viên của tập đoàn, không gồm các dịch vụ nghiên cứu phát triển (R&amp;amp;D), bao gồm mô tả năng lực của các trụ sở chính (cấp toàn cầu và cấp vùng) cung cấp các dịch vụ quan trọng và các chính sách giá chuyển nhượng để phân bổ chi phí dịch vụ và xác định giá phải trả cho các dịch vụ nội bộ tập đoàn.</w:t>
      </w:r>
    </w:p>
    <w:p>
      <w:pPr>
        <w:spacing w:after="120" w:line="360"/>
      </w:pPr>
      <w:r>
        <w:rPr>
          <w:rFonts w:ascii="Times New Roman" w:cs="Times New Roman" w:eastAsia="Times New Roman" w:hAnsi="Times New Roman"/>
          <w:sz w:val="26"/>
          <w:szCs w:val="26"/>
        </w:rPr>
        <w:t xml:space="preserve">Tóm tắt và giải trình lý do chính trong trường hợp tập đoàn tiến hành hoạt động mua sắm và quảng cáo, tiếp thị thông qua các trung tâm mua sắm và trung tâm tiếp thị tập trung 2.4 Mô tả các thị trường địa lý chính của các sản phẩm của tập đoàn nêu tại mục 2.2 2.5 Mô tả bằng văn bản về phân tích chức năng đưa ra các đóng góp của trụ sở chính đối với các giá trị do các cơ sở kinh doanh bản địa trong tập đoàn tạo ra, ví dụ các chức năng trọng yếu được thực hiện, các rủi ro trọng yếu phải gánh chịu và các tài sản trọng yếu được sử dụng 2.6 Mô tả về các giao dịch tái cơ cấu kinh doanh trọng yếu, các hoạt động mua bán, sáp nhập phát sinh trong năm tài chính 3 Thông tin về tài sản vô hình (TSVH) của tập đoàn: 3.1 Mô tả tổng quan về chiến lược chung của MNE với việc phát triển, sở hữu và khai thác TSVH, bao gồm vị trí của các cơ sở nghiên cứu phát triển (R&amp;amp;D) trụ sở chính và vị trí của nơi quản lý R&amp;amp;D 3.2 Danh mục các TSVH hoặc nhóm các TSVH của tập đoàn có tác động trọng yếu đối với chính sách giá chuyển nhượng và các công ty sở hữu về mặt pháp lý đối với TSVH hoặc nhóm TSVH đó 3.3 Danh sách các thỏa thuận quan trọng giữa các bên liên kết liên quan đến TSVH, thỏa thuận đóng góp chi phí, thỏa thuận dịch vụ nghiên cứu và các thỏa thuận cấp giấy phép, nhượng quyền 3.4 Mô tả chung về các chính sách giá chuyển nhượng của tập đoàn đối với các hoạt động R&amp;amp;D và TSVH 3.5 Mô tả chung về bất kỳ chuyển nhượng lợi ích quan trọng đối với TSVH giữa các bên liên kết trong năm tài chính liên quan, bao gồm thông tin các công ty con, các quốc gia tham gia chuyển nhượng và các khoản thanh toán liên quan 4 Các hoạt động tài chính nội bộ tập đoàn: 4.1 Mô tả chung về cơ chế phân bổ tài chính của tập đoàn, bao gồm các thỏa thuận tài chính, thỏa thuận cấp vốn quan trọng với các bên cho vay độc lập 4.2 Thông tin xác định bất kỳ thành viên nào của tập đoàn cung cấp chức năng tài chính, vốn tập trung cho tập đoàn, bao gồm các quốc gia nơi thành lập công ty con và nơi đặt trụ sở điều hành thực tế của công ty con 4.3 Mô tả chung về chính sách giá chuyển nhượng của tập đoàn đối với các thỏa thuận tài chính, cấp vốn giữa các bên liên kết 5 Kết quả kinh doanh và nghĩa vụ thuế của tập đoàn: 5.1 Báo cáo tài chính hợp nhất năm kê khai của tập đoàn và các báo cáo, cơ chế tài chính, quản lý nội bộ phục vụ mục đích tính thuế của tập đoàn; thuế suất áp dụng xác định nghĩa vụ thuế tương ứng lợi nhuận thu được từ hoạt động sản xuất kinh doanh của các bên liên kết có giao dịch liên kết với người nộp thuế 5.2 Danh sách mô tả ngắn gọn về các thỏa thuận trước về phương pháp xác định giá tính thuế (APA) đơn phương và các chính sách thuế khác liên quan đến việc phân bổ thu nhập giữa các quốc gia Công ty xin cam đoan tất cả thông tin đã khai tại mẫu này và các tài liệu gửi kèm là đúng và chịu trách nhiệm trước pháp luật về thông tin đã khai./.</w:t>
      </w:r>
    </w:p>
    <w:p>
      <w:pPr>
        <w:spacing w:after="120" w:line="360"/>
      </w:pPr>
      <w:r>
        <w:rPr>
          <w:rFonts w:ascii="Times New Roman" w:cs="Times New Roman" w:eastAsia="Times New Roman" w:hAnsi="Times New Roman"/>
          <w:sz w:val="26"/>
          <w:szCs w:val="26"/>
        </w:rPr>
        <w:t xml:space="preserve">NHÂN VIÊN ĐẠI LÝ THUẾ Họ và tên:…………..</w:t>
      </w:r>
    </w:p>
    <w:p>
      <w:pPr>
        <w:spacing w:after="120" w:line="360"/>
      </w:pPr>
      <w:r>
        <w:rPr>
          <w:rFonts w:ascii="Times New Roman" w:cs="Times New Roman" w:eastAsia="Times New Roman" w:hAnsi="Times New Roman"/>
          <w:sz w:val="26"/>
          <w:szCs w:val="26"/>
        </w:rPr>
        <w:t xml:space="preserve">Chứng chỉ hành nghề số ……… Ngày …..</w:t>
      </w:r>
    </w:p>
    <w:p>
      <w:pPr>
        <w:spacing w:after="120" w:line="360"/>
      </w:pPr>
      <w:r>
        <w:rPr>
          <w:rFonts w:ascii="Times New Roman" w:cs="Times New Roman" w:eastAsia="Times New Roman" w:hAnsi="Times New Roman"/>
          <w:sz w:val="26"/>
          <w:szCs w:val="26"/>
        </w:rPr>
        <w:t xml:space="preserve">tháng .....</w:t>
      </w:r>
    </w:p>
    <w:p>
      <w:pPr>
        <w:spacing w:after="120" w:line="360"/>
      </w:pPr>
      <w:r>
        <w:rPr>
          <w:rFonts w:ascii="Times New Roman" w:cs="Times New Roman" w:eastAsia="Times New Roman" w:hAnsi="Times New Roman"/>
          <w:sz w:val="26"/>
          <w:szCs w:val="26"/>
        </w:rPr>
        <w:t xml:space="preserve">năm ….</w:t>
      </w:r>
    </w:p>
    <w:p>
      <w:pPr>
        <w:spacing w:after="120" w:line="360"/>
      </w:pPr>
      <w:r>
        <w:rPr>
          <w:rFonts w:ascii="Times New Roman" w:cs="Times New Roman" w:eastAsia="Times New Roman" w:hAnsi="Times New Roman"/>
          <w:sz w:val="26"/>
          <w:szCs w:val="26"/>
        </w:rPr>
        <w:t xml:space="preserve">NGƯỜI NỘP THUẾ hoặc ĐẠI DIỆN HỢP PHÁP CỦA NGƯỜI NỘP THUẾ (Ký, ghi rõ họ tên; chức vụ và đóng dấu (nếu có)) Ghi chú: Những cột chỉ tiêu nào không có thông tin thì bỏ trống.</w:t>
      </w:r>
    </w:p>
    <w:p>
      <w:pPr>
        <w:spacing w:after="120" w:line="360"/>
      </w:pPr>
      <w:r>
        <w:rPr>
          <w:rFonts w:ascii="Times New Roman" w:cs="Times New Roman" w:eastAsia="Times New Roman" w:hAnsi="Times New Roman"/>
          <w:sz w:val="26"/>
          <w:szCs w:val="26"/>
        </w:rPr>
        <w:t xml:space="preserve">PHỤ LỤC IV (Kèm theo Nghị định số 132/2020/NĐ-CP ngày 05 tháng 11 năm 2020 của Chính phủ) KÊ KHAI THÔNG TIN BÁO CÁO LỢI NHUẬN LIÊN QUỐC GIA (Kèm theo Tờ khai quyết toán thuế thu nhập doanh nghiệp) Kỳ tính thuế: Từ .......................đến.................</w:t>
      </w:r>
    </w:p>
    <w:p>
      <w:pPr>
        <w:spacing w:after="120" w:line="360"/>
      </w:pPr>
      <w:r>
        <w:rPr>
          <w:rFonts w:ascii="Times New Roman" w:cs="Times New Roman" w:eastAsia="Times New Roman" w:hAnsi="Times New Roman"/>
          <w:sz w:val="26"/>
          <w:szCs w:val="26"/>
        </w:rPr>
        <w:t xml:space="preserve">[01] Tên người nộp thuế …………………………………………………………………………………………… [02] Mã số thuế: [03] Địa chỉ: ………………………………..……………………………………………………..</w:t>
      </w:r>
    </w:p>
    <w:p>
      <w:pPr>
        <w:spacing w:after="120" w:line="360"/>
      </w:pPr>
      <w:r>
        <w:rPr>
          <w:rFonts w:ascii="Times New Roman" w:cs="Times New Roman" w:eastAsia="Times New Roman" w:hAnsi="Times New Roman"/>
          <w:sz w:val="26"/>
          <w:szCs w:val="26"/>
        </w:rPr>
        <w:t xml:space="preserve">[04] Quận/huyện: ………….......................</w:t>
      </w:r>
    </w:p>
    <w:p>
      <w:pPr>
        <w:spacing w:after="120" w:line="360"/>
      </w:pPr>
      <w:r>
        <w:rPr>
          <w:rFonts w:ascii="Times New Roman" w:cs="Times New Roman" w:eastAsia="Times New Roman" w:hAnsi="Times New Roman"/>
          <w:sz w:val="26"/>
          <w:szCs w:val="26"/>
        </w:rPr>
        <w:t xml:space="preserve">[05] Tỉnh/thành phố: …………….……………..</w:t>
      </w:r>
    </w:p>
    <w:p>
      <w:pPr>
        <w:spacing w:after="120" w:line="360"/>
      </w:pPr>
      <w:r>
        <w:rPr>
          <w:rFonts w:ascii="Times New Roman" w:cs="Times New Roman" w:eastAsia="Times New Roman" w:hAnsi="Times New Roman"/>
          <w:sz w:val="26"/>
          <w:szCs w:val="26"/>
        </w:rPr>
        <w:t xml:space="preserve">[06] Điện thoại: ……………………………..</w:t>
      </w:r>
    </w:p>
    <w:p>
      <w:pPr>
        <w:spacing w:after="120" w:line="360"/>
      </w:pPr>
      <w:r>
        <w:rPr>
          <w:rFonts w:ascii="Times New Roman" w:cs="Times New Roman" w:eastAsia="Times New Roman" w:hAnsi="Times New Roman"/>
          <w:sz w:val="26"/>
          <w:szCs w:val="26"/>
        </w:rPr>
        <w:t xml:space="preserve">[07] Fax: ……………….</w:t>
      </w:r>
    </w:p>
    <w:p>
      <w:pPr>
        <w:spacing w:after="120" w:line="360"/>
      </w:pPr>
      <w:r>
        <w:rPr>
          <w:rFonts w:ascii="Times New Roman" w:cs="Times New Roman" w:eastAsia="Times New Roman" w:hAnsi="Times New Roman"/>
          <w:sz w:val="26"/>
          <w:szCs w:val="26"/>
        </w:rPr>
        <w:t xml:space="preserve">[08] Email:………….</w:t>
      </w:r>
    </w:p>
    <w:p>
      <w:pPr>
        <w:spacing w:after="120" w:line="360"/>
      </w:pPr>
      <w:r>
        <w:rPr>
          <w:rFonts w:ascii="Times New Roman" w:cs="Times New Roman" w:eastAsia="Times New Roman" w:hAnsi="Times New Roman"/>
          <w:sz w:val="26"/>
          <w:szCs w:val="26"/>
        </w:rPr>
        <w:t xml:space="preserve">[09] Tên đại lý thuế (nếu có): …………………………………………………………………..</w:t>
      </w:r>
    </w:p>
    <w:p>
      <w:pPr>
        <w:spacing w:after="120" w:line="360"/>
      </w:pPr>
      <w:r>
        <w:rPr>
          <w:rFonts w:ascii="Times New Roman" w:cs="Times New Roman" w:eastAsia="Times New Roman" w:hAnsi="Times New Roman"/>
          <w:sz w:val="26"/>
          <w:szCs w:val="26"/>
        </w:rPr>
        <w:t xml:space="preserve">[10] Mã số thuế: MỤC I.</w:t>
      </w:r>
    </w:p>
    <w:p>
      <w:pPr>
        <w:spacing w:after="120" w:line="360"/>
      </w:pPr>
      <w:r>
        <w:rPr>
          <w:rFonts w:ascii="Times New Roman" w:cs="Times New Roman" w:eastAsia="Times New Roman" w:hAnsi="Times New Roman"/>
          <w:sz w:val="26"/>
          <w:szCs w:val="26"/>
        </w:rPr>
        <w:t xml:space="preserve">TỔNG QUAN VỀ HOẠT ĐỘNG PHÂN BỔ THU NHẬP, THUẾ VÀ HOẠT ĐỘNG KINH DOANH THEO QUỐC GIA CƯ TRÚ Quốc gia Doanh thu Lợi nhuận trước thuế Tổng số thuế thu nhập doanh nghiệp phải nộp Thuế thu nhập đã nộp Vốn đăng ký Lợi nhuận lũy kế Số lượng nhân viên Tài sản hữu hình ngoại trừ tiền và các khoản tương đương tiền Bên độc lập Bên liên kết Tổng MỤC II.</w:t>
      </w:r>
    </w:p>
    <w:p>
      <w:pPr>
        <w:spacing w:after="120" w:line="360"/>
      </w:pPr>
      <w:r>
        <w:rPr>
          <w:rFonts w:ascii="Times New Roman" w:cs="Times New Roman" w:eastAsia="Times New Roman" w:hAnsi="Times New Roman"/>
          <w:sz w:val="26"/>
          <w:szCs w:val="26"/>
        </w:rPr>
        <w:t xml:space="preserve">DANH MỤC CÁC CÔNG TY CON CỦA TẬP ĐOÀN THEO QUỐC GIA CƯ TRÚ Tên tập đoàn đa quốc gia Quốc gia Các công ty là đối tượng cư trú ở nước sở tại Quốc gia hoặc lãnh thổ đăng ký kinh doanh nếu khác với quốc gia hoặc lãnh thổ cư trú thuế Các hoạt động kinh doanh Nghiên cứu và phát triển Nắm giữ hoặc quản lý tài sản trí tuệ Mua hàng Chế tạo hoặc sản xuất Bán hàng, tiếp thị hoặc phân phối Điều hành, quản lý và các dịch vụ hỗ trợ Cung cấp dịch vụ cho các bên không liên quan Tài chính nội bộ tập đoàn Các dịch vụ tài chính theo quy định Bảo hiểm Nắm giữ cổ phần hoặc các công cụ vốn khác Công ty không hoạt động Khác 1.</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w:t>
      </w:r>
    </w:p>
    <w:p>
      <w:pPr>
        <w:spacing w:after="120" w:line="360"/>
      </w:pPr>
      <w:r>
        <w:rPr>
          <w:rFonts w:ascii="Times New Roman" w:cs="Times New Roman" w:eastAsia="Times New Roman" w:hAnsi="Times New Roman"/>
          <w:sz w:val="26"/>
          <w:szCs w:val="26"/>
        </w:rPr>
        <w:t xml:space="preserve">Tôi cam đoan số liệu kê khai trên là đúng và tự chịu trách nhiệm trước pháp luật về số liệu đã khai./.</w:t>
      </w:r>
    </w:p>
    <w:p>
      <w:pPr>
        <w:spacing w:after="120" w:line="360"/>
      </w:pPr>
      <w:r>
        <w:rPr>
          <w:rFonts w:ascii="Times New Roman" w:cs="Times New Roman" w:eastAsia="Times New Roman" w:hAnsi="Times New Roman"/>
          <w:sz w:val="26"/>
          <w:szCs w:val="26"/>
        </w:rPr>
        <w:t xml:space="preserve">NHÂN VIÊN ĐẠI LÝ THUẾ Họ và tên:…………..</w:t>
      </w:r>
    </w:p>
    <w:p>
      <w:pPr>
        <w:spacing w:after="120" w:line="360"/>
      </w:pPr>
      <w:r>
        <w:rPr>
          <w:rFonts w:ascii="Times New Roman" w:cs="Times New Roman" w:eastAsia="Times New Roman" w:hAnsi="Times New Roman"/>
          <w:sz w:val="26"/>
          <w:szCs w:val="26"/>
        </w:rPr>
        <w:t xml:space="preserve">Chứng chỉ hành nghề số ……… Ngày …..</w:t>
      </w:r>
    </w:p>
    <w:p>
      <w:pPr>
        <w:spacing w:after="120" w:line="360"/>
      </w:pPr>
      <w:r>
        <w:rPr>
          <w:rFonts w:ascii="Times New Roman" w:cs="Times New Roman" w:eastAsia="Times New Roman" w:hAnsi="Times New Roman"/>
          <w:sz w:val="26"/>
          <w:szCs w:val="26"/>
        </w:rPr>
        <w:t xml:space="preserve">tháng .....</w:t>
      </w:r>
    </w:p>
    <w:p>
      <w:pPr>
        <w:spacing w:after="120" w:line="360"/>
      </w:pPr>
      <w:r>
        <w:rPr>
          <w:rFonts w:ascii="Times New Roman" w:cs="Times New Roman" w:eastAsia="Times New Roman" w:hAnsi="Times New Roman"/>
          <w:sz w:val="26"/>
          <w:szCs w:val="26"/>
        </w:rPr>
        <w:t xml:space="preserve">năm ….</w:t>
      </w:r>
    </w:p>
    <w:p>
      <w:pPr>
        <w:spacing w:after="120" w:line="360"/>
      </w:pPr>
      <w:r>
        <w:rPr>
          <w:rFonts w:ascii="Times New Roman" w:cs="Times New Roman" w:eastAsia="Times New Roman" w:hAnsi="Times New Roman"/>
          <w:sz w:val="26"/>
          <w:szCs w:val="26"/>
        </w:rPr>
        <w:t xml:space="preserve">NGƯỜI NỘP THUẾ hoặc ĐẠI DIỆN HỢP PHÁP CỦA NGƯỜI NỘP THUẾ (Ký, ghi rõ họ tên; chức vụ và đóng dấu (nếu có)) Ghi chú: Những cột chỉ tiêu nào không có thông tin thì bỏ trống.</w:t>
      </w:r>
    </w:p>
    <w:p>
      <w:pPr>
        <w:spacing w:after="120" w:line="360"/>
      </w:pPr>
      <w:r>
        <w:rPr>
          <w:rFonts w:ascii="Times New Roman" w:cs="Times New Roman" w:eastAsia="Times New Roman" w:hAnsi="Times New Roman"/>
          <w:sz w:val="26"/>
          <w:szCs w:val="26"/>
        </w:rPr>
        <w:t xml:space="preserve">HƯỚNG DẪN KÊ KHAI MỘT SỐ CHỈ TIÊU A.</w:t>
      </w:r>
    </w:p>
    <w:p>
      <w:pPr>
        <w:spacing w:after="120" w:line="360"/>
      </w:pPr>
      <w:r>
        <w:rPr>
          <w:rFonts w:ascii="Times New Roman" w:cs="Times New Roman" w:eastAsia="Times New Roman" w:hAnsi="Times New Roman"/>
          <w:sz w:val="26"/>
          <w:szCs w:val="26"/>
        </w:rPr>
        <w:t xml:space="preserve">Kỳ tính thuế: Ghi thông tin tương ứng với kỳ tính thuế của Tờ khai quyết toán thuế thu nhập doanh nghiệp.</w:t>
      </w:r>
    </w:p>
    <w:p>
      <w:pPr>
        <w:spacing w:after="120" w:line="360"/>
      </w:pPr>
      <w:r>
        <w:rPr>
          <w:rFonts w:ascii="Times New Roman" w:cs="Times New Roman" w:eastAsia="Times New Roman" w:hAnsi="Times New Roman"/>
          <w:sz w:val="26"/>
          <w:szCs w:val="26"/>
        </w:rPr>
        <w:t xml:space="preserve">Kỳ tính thuế xác định theo quy định tại Luật Thuế thu nhập doanh nghiệp.</w:t>
      </w:r>
    </w:p>
    <w:p>
      <w:pPr>
        <w:spacing w:after="120" w:line="360"/>
      </w:pPr>
      <w:r>
        <w:rPr>
          <w:rFonts w:ascii="Times New Roman" w:cs="Times New Roman" w:eastAsia="Times New Roman" w:hAnsi="Times New Roman"/>
          <w:sz w:val="26"/>
          <w:szCs w:val="26"/>
        </w:rPr>
        <w:t xml:space="preserve">B.</w:t>
      </w:r>
    </w:p>
    <w:p>
      <w:pPr>
        <w:spacing w:after="120" w:line="360"/>
      </w:pPr>
      <w:r>
        <w:rPr>
          <w:rFonts w:ascii="Times New Roman" w:cs="Times New Roman" w:eastAsia="Times New Roman" w:hAnsi="Times New Roman"/>
          <w:sz w:val="26"/>
          <w:szCs w:val="26"/>
        </w:rPr>
        <w:t xml:space="preserve">Thông tin chung của người nộp thuế: Từ chỉ tiêu [01] đến chỉ tiêu [10] ghi thông tin tương ứng với thông tin đã ghi tại Tờ khai quyết toán thuế thu nhập doanh nghiệp.</w:t>
      </w:r>
    </w:p>
    <w:p>
      <w:pPr>
        <w:spacing w:after="120" w:line="360"/>
      </w:pPr>
      <w:r>
        <w:rPr>
          <w:rFonts w:ascii="Times New Roman" w:cs="Times New Roman" w:eastAsia="Times New Roman" w:hAnsi="Times New Roman"/>
          <w:sz w:val="26"/>
          <w:szCs w:val="26"/>
        </w:rPr>
        <w:t xml:space="preserve">C.</w:t>
      </w:r>
    </w:p>
    <w:p>
      <w:pPr>
        <w:spacing w:after="120" w:line="360"/>
      </w:pPr>
      <w:r>
        <w:rPr>
          <w:rFonts w:ascii="Times New Roman" w:cs="Times New Roman" w:eastAsia="Times New Roman" w:hAnsi="Times New Roman"/>
          <w:sz w:val="26"/>
          <w:szCs w:val="26"/>
        </w:rPr>
        <w:t xml:space="preserve">Mục I.</w:t>
      </w:r>
    </w:p>
    <w:p>
      <w:pPr>
        <w:spacing w:after="120" w:line="360"/>
      </w:pPr>
      <w:r>
        <w:rPr>
          <w:rFonts w:ascii="Times New Roman" w:cs="Times New Roman" w:eastAsia="Times New Roman" w:hAnsi="Times New Roman"/>
          <w:sz w:val="26"/>
          <w:szCs w:val="26"/>
        </w:rPr>
        <w:t xml:space="preserve">Tổng quan về hoạt động phân bổ thu nhập, thuế và hoạt động kinh doanh theo quốc gia cư trú: Các nội dung kê theo đơn vị tiền tệ được quy đổi đơn vị tính là đồng Việt Nam theo quy định của chế độ kế toán doanh nghiệp.</w:t>
      </w:r>
    </w:p>
    <w:p>
      <w:pPr>
        <w:spacing w:after="120" w:line="360"/>
      </w:pPr>
      <w:r>
        <w:rPr>
          <w:rFonts w:ascii="Times New Roman" w:cs="Times New Roman" w:eastAsia="Times New Roman" w:hAnsi="Times New Roman"/>
          <w:sz w:val="26"/>
          <w:szCs w:val="26"/>
        </w:rPr>
        <w:t xml:space="preserve">Trường hợp các bên liên kết thuộc tập đoàn có năm tài chính khác nhau thì báo cáo lợi nhuận lập theo số liệu, thông tin tại báo cáo của năm tài chính liền kề trước kỳ tính thuế của người nộp thuế.</w:t>
      </w:r>
    </w:p>
    <w:p>
      <w:pPr>
        <w:spacing w:after="120" w:line="360"/>
      </w:pPr>
      <w:r>
        <w:rPr>
          <w:rFonts w:ascii="Times New Roman" w:cs="Times New Roman" w:eastAsia="Times New Roman" w:hAnsi="Times New Roman"/>
          <w:sz w:val="26"/>
          <w:szCs w:val="26"/>
        </w:rPr>
        <w:t xml:space="preserve">- Chỉ tiêu “Quốc gia”: Ghi tên quốc gia, vùng lãnh thổ nơi các bên liên kết là đối tượng cư trú và nơi đặt cơ sở thường trú, cơ sở sản xuất, kinh doanh mà thông qua cơ sở này các bên liên kết tiến hành một phần hoặc toàn bộ hoạt động sản xuất, kinh doanh của người nộp thuế và các bên liên kết thuộc tập đoàn (bao gồm cả trường hợp các bên liên kết này không xác định được là đối tượng cư trú của quốc gia, vùng lãnh thổ nào).</w:t>
      </w:r>
    </w:p>
    <w:p>
      <w:pPr>
        <w:spacing w:after="120" w:line="360"/>
      </w:pPr>
      <w:r>
        <w:rPr>
          <w:rFonts w:ascii="Times New Roman" w:cs="Times New Roman" w:eastAsia="Times New Roman" w:hAnsi="Times New Roman"/>
          <w:sz w:val="26"/>
          <w:szCs w:val="26"/>
        </w:rPr>
        <w:t xml:space="preserve">+ Trường hợp công ty mẹ tối cao và bên liên kết cư trú thuế ở nhiều nước thì phải thực hiện xác định nơi cư trú thuế theo hướng dẫn của Hiệp định thuế liên quan.</w:t>
      </w:r>
    </w:p>
    <w:p>
      <w:pPr>
        <w:spacing w:after="120" w:line="360"/>
      </w:pPr>
      <w:r>
        <w:rPr>
          <w:rFonts w:ascii="Times New Roman" w:cs="Times New Roman" w:eastAsia="Times New Roman" w:hAnsi="Times New Roman"/>
          <w:sz w:val="26"/>
          <w:szCs w:val="26"/>
        </w:rPr>
        <w:t xml:space="preserve">+ Trường hợp không có Hiệp định thuế giữa các quốc gia, vùng lãnh thổ liên quan thì ghi nước hoặc vùng lãnh thổ bên liên kết đăng ký kinh doanh hoặc ghi quốc gia hoặc vùng lãnh thổ nơi các bên liên kết có cơ sở sản xuất, kinh doanh mà thông qua cơ sở này các bên liên kết tiến hành một phần hoặc toàn bộ hoạt động sản xuất, kinh doanh tại quốc gia hoặc vùng lãnh thổ đó.</w:t>
      </w:r>
    </w:p>
    <w:p>
      <w:pPr>
        <w:spacing w:after="120" w:line="360"/>
      </w:pPr>
      <w:r>
        <w:rPr>
          <w:rFonts w:ascii="Times New Roman" w:cs="Times New Roman" w:eastAsia="Times New Roman" w:hAnsi="Times New Roman"/>
          <w:sz w:val="26"/>
          <w:szCs w:val="26"/>
        </w:rPr>
        <w:t xml:space="preserve">- Chỉ tiêu “Doanh thu”: Tổng giá trị các khoản thu có tính chất là doanh thu trong kỳ từ các bên liên kết và các bên độc lập, trừ cổ tức và lợi nhuận được chia từ các bên liên kết, gồm: + Bên độc lập: Ghi tổng các khoản thu của các bên liên kết thuộc tập đoàn tại từng quốc gia, vùng lãnh thổ nơi cư trú thu được từ các bên độc lập.</w:t>
      </w:r>
    </w:p>
    <w:p>
      <w:pPr>
        <w:spacing w:after="120" w:line="360"/>
      </w:pPr>
      <w:r>
        <w:rPr>
          <w:rFonts w:ascii="Times New Roman" w:cs="Times New Roman" w:eastAsia="Times New Roman" w:hAnsi="Times New Roman"/>
          <w:sz w:val="26"/>
          <w:szCs w:val="26"/>
        </w:rPr>
        <w:t xml:space="preserve">+ Bên liên kết: Ghi tổng các khoản thu của các bên liên kết thuộc tập đoàn tại từng quốc gia, vùng lãnh thổ nơi cư trú thu được từ các bên liên kết khác.</w:t>
      </w:r>
    </w:p>
    <w:p>
      <w:pPr>
        <w:spacing w:after="120" w:line="360"/>
      </w:pPr>
      <w:r>
        <w:rPr>
          <w:rFonts w:ascii="Times New Roman" w:cs="Times New Roman" w:eastAsia="Times New Roman" w:hAnsi="Times New Roman"/>
          <w:sz w:val="26"/>
          <w:szCs w:val="26"/>
        </w:rPr>
        <w:t xml:space="preserve">+ Chỉ tiêu tổng doanh thu: Ghi tổng giá trị doanh thu tại cột Bên độc lập cộng (+) giá trị doanh thu tại cột Bên liên kết.</w:t>
      </w:r>
    </w:p>
    <w:p>
      <w:pPr>
        <w:spacing w:after="120" w:line="360"/>
      </w:pPr>
      <w:r>
        <w:rPr>
          <w:rFonts w:ascii="Times New Roman" w:cs="Times New Roman" w:eastAsia="Times New Roman" w:hAnsi="Times New Roman"/>
          <w:sz w:val="26"/>
          <w:szCs w:val="26"/>
        </w:rPr>
        <w:t xml:space="preserve">- Chỉ tiêu “Lợi nhuận trước thuế”: Ghi tổng lợi nhuận kế toán trước thuế của các bên liên kết của tập đoàn đa quốc gia tại quốc gia, vùng lãnh thổ nơi cư trú.</w:t>
      </w:r>
    </w:p>
    <w:p>
      <w:pPr>
        <w:spacing w:after="120" w:line="360"/>
      </w:pPr>
      <w:r>
        <w:rPr>
          <w:rFonts w:ascii="Times New Roman" w:cs="Times New Roman" w:eastAsia="Times New Roman" w:hAnsi="Times New Roman"/>
          <w:sz w:val="26"/>
          <w:szCs w:val="26"/>
        </w:rPr>
        <w:t xml:space="preserve">- Chỉ tiêu “Tổng số thuế thu nhập doanh nghiệp phải nộp”: Ghi tổng số thuế thu nhập doanh nghiệp (hoặc loại thuế có tính chất tương tự) mà các bên liên kết của tập đoàn đa quốc gia phải nộp tại quốc gia hoặc vùng lãnh thổ nơi cư trú và số thuế có tính chất tương tự thuế thu nhập doanh nghiệp (như thuế thu nhập doanh nghiệp nhà thầu) phải nộp tại các nước, vùng lãnh thổ khác nơi cư trú.</w:t>
      </w:r>
    </w:p>
    <w:p>
      <w:pPr>
        <w:spacing w:after="120" w:line="360"/>
      </w:pPr>
      <w:r>
        <w:rPr>
          <w:rFonts w:ascii="Times New Roman" w:cs="Times New Roman" w:eastAsia="Times New Roman" w:hAnsi="Times New Roman"/>
          <w:sz w:val="26"/>
          <w:szCs w:val="26"/>
        </w:rPr>
        <w:t xml:space="preserve">Tổng số thuế thu nhập doanh nghiệp phải nộp được xác định căn cứ chế độ kế toán theo cơ sở tiền mặt hoặc cơ sở dồn tích theo quy định tại nơi cư trú của bên liên kết và ghi chú phương pháp áp dụng nếu xác định theo cơ sở tiền mặt.</w:t>
      </w:r>
    </w:p>
    <w:p>
      <w:pPr>
        <w:spacing w:after="120" w:line="360"/>
      </w:pPr>
      <w:r>
        <w:rPr>
          <w:rFonts w:ascii="Times New Roman" w:cs="Times New Roman" w:eastAsia="Times New Roman" w:hAnsi="Times New Roman"/>
          <w:sz w:val="26"/>
          <w:szCs w:val="26"/>
        </w:rPr>
        <w:t xml:space="preserve">- Chỉ tiêu “Thuế thu nhập đã nộp”: Ghi tổng số thuế thu nhập đã nộp của tất cả các bên liên kết thuộc tập đoàn.</w:t>
      </w:r>
    </w:p>
    <w:p>
      <w:pPr>
        <w:spacing w:after="120" w:line="360"/>
      </w:pPr>
      <w:r>
        <w:rPr>
          <w:rFonts w:ascii="Times New Roman" w:cs="Times New Roman" w:eastAsia="Times New Roman" w:hAnsi="Times New Roman"/>
          <w:sz w:val="26"/>
          <w:szCs w:val="26"/>
        </w:rPr>
        <w:t xml:space="preserve">Trường hợp các bên liên kết đã nộp thuế thu nhập doanh nghiệp của nhà thầu nước ngoài (hoặc loại thuế có tính chất tương tự) tại nước, vùng lãnh thổ khác nơi cư trú, số thuế nhà thầu này được tính vào tổng số thuế thu nhập doanh nghiệp đã nộp.</w:t>
      </w:r>
    </w:p>
    <w:p>
      <w:pPr>
        <w:spacing w:after="120" w:line="360"/>
      </w:pPr>
      <w:r>
        <w:rPr>
          <w:rFonts w:ascii="Times New Roman" w:cs="Times New Roman" w:eastAsia="Times New Roman" w:hAnsi="Times New Roman"/>
          <w:sz w:val="26"/>
          <w:szCs w:val="26"/>
        </w:rPr>
        <w:t xml:space="preserve">- Chỉ tiêu “Vốn đăng ký”: Ghi tổng số vốn cam kết đầu tư đã được giải ngân thực tế của các bên liên kết thuộc tập đoàn đa quốc gia tại nơi cư trú.</w:t>
      </w:r>
    </w:p>
    <w:p>
      <w:pPr>
        <w:spacing w:after="120" w:line="360"/>
      </w:pPr>
      <w:r>
        <w:rPr>
          <w:rFonts w:ascii="Times New Roman" w:cs="Times New Roman" w:eastAsia="Times New Roman" w:hAnsi="Times New Roman"/>
          <w:sz w:val="26"/>
          <w:szCs w:val="26"/>
        </w:rPr>
        <w:t xml:space="preserve">- Chỉ tiêu “Lợi nhuận lũy kế”: Ghi tổng cộng dồn lợi nhuận sau thuế chưa phân phối của tất cả các bên liên kết thuộc tập đoàn tại quốc gia tại thời điểm cuối kỳ.</w:t>
      </w:r>
    </w:p>
    <w:p>
      <w:pPr>
        <w:spacing w:after="120" w:line="360"/>
      </w:pPr>
      <w:r>
        <w:rPr>
          <w:rFonts w:ascii="Times New Roman" w:cs="Times New Roman" w:eastAsia="Times New Roman" w:hAnsi="Times New Roman"/>
          <w:sz w:val="26"/>
          <w:szCs w:val="26"/>
        </w:rPr>
        <w:t xml:space="preserve">- Chỉ tiêu “Số lượng nhân viên”: Ghi tổng số người lao động bình quân của các bên liên kết sử dụng.</w:t>
      </w:r>
    </w:p>
    <w:p>
      <w:pPr>
        <w:spacing w:after="120" w:line="360"/>
      </w:pPr>
      <w:r>
        <w:rPr>
          <w:rFonts w:ascii="Times New Roman" w:cs="Times New Roman" w:eastAsia="Times New Roman" w:hAnsi="Times New Roman"/>
          <w:sz w:val="26"/>
          <w:szCs w:val="26"/>
        </w:rPr>
        <w:t xml:space="preserve">- Chỉ tiêu “Tài sản hữu hình ngoại trừ tiền và các khoản tương đương tiền mặt”: Ghi tổng giá trị tài sản của các bên liên kết, gồm: Tài sản cố định hữu hình, Tài sản cố định thuê tài chính, Bất động sản đầu tư, Tài sản dở dang dài hạn.</w:t>
      </w:r>
    </w:p>
    <w:p>
      <w:pPr>
        <w:spacing w:after="120" w:line="360"/>
      </w:pPr>
      <w:r>
        <w:rPr>
          <w:rFonts w:ascii="Times New Roman" w:cs="Times New Roman" w:eastAsia="Times New Roman" w:hAnsi="Times New Roman"/>
          <w:sz w:val="26"/>
          <w:szCs w:val="26"/>
        </w:rPr>
        <w:t xml:space="preserve">D.</w:t>
      </w:r>
    </w:p>
    <w:p>
      <w:pPr>
        <w:spacing w:after="120" w:line="360"/>
      </w:pPr>
      <w:r>
        <w:rPr>
          <w:rFonts w:ascii="Times New Roman" w:cs="Times New Roman" w:eastAsia="Times New Roman" w:hAnsi="Times New Roman"/>
          <w:sz w:val="26"/>
          <w:szCs w:val="26"/>
        </w:rPr>
        <w:t xml:space="preserve">Mục II.</w:t>
      </w:r>
    </w:p>
    <w:p>
      <w:pPr>
        <w:spacing w:after="120" w:line="360"/>
      </w:pPr>
      <w:r>
        <w:rPr>
          <w:rFonts w:ascii="Times New Roman" w:cs="Times New Roman" w:eastAsia="Times New Roman" w:hAnsi="Times New Roman"/>
          <w:sz w:val="26"/>
          <w:szCs w:val="26"/>
        </w:rPr>
        <w:t xml:space="preserve">Danh mục các công ty con của tập đoàn theo nước, vùng lãnh thổ nơi cư trú - Chỉ tiêu “Quốc gia”: Ghi tương tự Chỉ tiêu Quốc gia tại Mục I.</w:t>
      </w:r>
    </w:p>
    <w:p>
      <w:pPr>
        <w:spacing w:after="120" w:line="360"/>
      </w:pPr>
      <w:r>
        <w:rPr>
          <w:rFonts w:ascii="Times New Roman" w:cs="Times New Roman" w:eastAsia="Times New Roman" w:hAnsi="Times New Roman"/>
          <w:sz w:val="26"/>
          <w:szCs w:val="26"/>
        </w:rPr>
        <w:t xml:space="preserve">- Chỉ tiêu “Các Công ty là đối tượng cư trú ở nước sở tại”: Ghi tên pháp nhân của các bên liên kết của công ty mẹ tối cao có nghĩa vụ kê khai thuế thu nhập doanh nghiệp (hoặc loại thuế có tính chất tương tự) theo quy định của pháp luật tại nước, vùng lãnh thổ nơi cư trú.</w:t>
      </w:r>
    </w:p>
    <w:p>
      <w:pPr>
        <w:spacing w:after="120" w:line="360"/>
      </w:pPr>
      <w:r>
        <w:rPr>
          <w:rFonts w:ascii="Times New Roman" w:cs="Times New Roman" w:eastAsia="Times New Roman" w:hAnsi="Times New Roman"/>
          <w:sz w:val="26"/>
          <w:szCs w:val="26"/>
        </w:rPr>
        <w:t xml:space="preserve">+ Trường hợp công ty mẹ tối cao hoặc các bên liên kết có cơ sở thường trú tại bên liên kết khác, ghi cơ sở thường trú tương ứng với dòng kê khai tên quốc gia là nước, vùng lãnh thổ nơi cư trú của bên liên kết.</w:t>
      </w:r>
    </w:p>
    <w:p>
      <w:pPr>
        <w:spacing w:after="120" w:line="360"/>
      </w:pPr>
      <w:r>
        <w:rPr>
          <w:rFonts w:ascii="Times New Roman" w:cs="Times New Roman" w:eastAsia="Times New Roman" w:hAnsi="Times New Roman"/>
          <w:sz w:val="26"/>
          <w:szCs w:val="26"/>
        </w:rPr>
        <w:t xml:space="preserve">- Chỉ tiêu “Quốc gia hoặc vùng lãnh thổ đăng ký kinh doanh nếu khác với quốc gia hoặc vùng lãnh thổ cư trú”: Ghi tên của quốc gia hoặc vùng lãnh thổ mà các công ty con của tập đoàn đăng ký kinh doanh khác với quốc gia hoặc vùng lãnh thổ cư trú.</w:t>
      </w:r>
    </w:p>
    <w:p>
      <w:pPr>
        <w:spacing w:after="120" w:line="360"/>
      </w:pPr>
      <w:r>
        <w:rPr>
          <w:rFonts w:ascii="Times New Roman" w:cs="Times New Roman" w:eastAsia="Times New Roman" w:hAnsi="Times New Roman"/>
          <w:sz w:val="26"/>
          <w:szCs w:val="26"/>
        </w:rPr>
        <w:t xml:space="preserve">- Chỉ tiêu “Các hoạt động kinh doanh”: Công ty mẹ tối cao xác định chức năng hoạt động kinh doanh của các bên liên kết, đánh dấu “x” vào ô tương ứng theo từng chức năng được liệt kê tại chỉ tiêu “Các hoạt động kinh doanh”.</w:t>
      </w:r>
    </w:p>
    <w:p>
      <w:pPr>
        <w:spacing w:after="120" w:line="360"/>
      </w:pPr>
      <w:r>
        <w:rPr>
          <w:rFonts w:ascii="Times New Roman" w:cs="Times New Roman" w:eastAsia="Times New Roman" w:hAnsi="Times New Roman"/>
          <w:sz w:val="26"/>
          <w:szCs w:val="26"/>
        </w:rPr>
        <w:t xml:space="preserve">Trường hợp bên liên kết thực hiện nhiều hơn một chức năng, Công ty mẹ tối cao đánh dấu “x” vào tất cả các ô tương ứng với từng chức năng.</w:t>
      </w:r>
    </w:p>
    <w:p>
      <w:pPr>
        <w:spacing w:after="120" w:line="360"/>
      </w:pPr>
      <w:r>
        <w:rPr>
          <w:rFonts w:ascii="Times New Roman" w:cs="Times New Roman" w:eastAsia="Times New Roman" w:hAnsi="Times New Roman"/>
          <w:sz w:val="26"/>
          <w:szCs w:val="26"/>
        </w:rPr>
        <w:t xml:space="preserve">PHỤ LỤC V (Kèm theo Nghị định số 132/2020/NĐ-CP ngày 05 tháng 11 năm 2020 của Chính phủ) CÔNG THỨC TÍNH KHOẢNG GIÁ TRỊ GIAO DỊCH ĐỘC LẬP CHUẨN Công thức tính khoảng giao dịch độc lập chuẩn và giá trị trung vị được xác định theo hàm Percentile trong Microsoft Excel như sau: 1.</w:t>
      </w:r>
    </w:p>
    <w:p>
      <w:pPr>
        <w:spacing w:after="120" w:line="360"/>
      </w:pPr>
      <w:r>
        <w:rPr>
          <w:rFonts w:ascii="Times New Roman" w:cs="Times New Roman" w:eastAsia="Times New Roman" w:hAnsi="Times New Roman"/>
          <w:sz w:val="26"/>
          <w:szCs w:val="26"/>
        </w:rPr>
        <w:t xml:space="preserve">Cách tính - Lập một vùng dữ liệu trong Excel là các ô chứa các giá trị về mức giá hoặc tỷ suất lợi nhuận hoặc tỷ lệ phân bổ lợi nhuận được xác định từ các đối tượng so sánh độc lập (có thể là một cột hoặc một dòng).</w:t>
      </w:r>
    </w:p>
    <w:p>
      <w:pPr>
        <w:spacing w:after="120" w:line="360"/>
      </w:pPr>
      <w:r>
        <w:rPr>
          <w:rFonts w:ascii="Times New Roman" w:cs="Times New Roman" w:eastAsia="Times New Roman" w:hAnsi="Times New Roman"/>
          <w:sz w:val="26"/>
          <w:szCs w:val="26"/>
        </w:rPr>
        <w:t xml:space="preserve">- Di chuyển con trỏ đến một ô khác ngoài vùng dữ liệu và thực hiện lệnh Percentile để tìm các giá trị bách phân vị tương ứng, cụ thể: Percentile (Vùng dữ liệu, tham số) - Vùng dữ liệu: Là vùng chứa các giá trị về mức giá hoặc tỷ suất lợi nhuận hoặc tỷ lệ phân bổ lợi nhuận.</w:t>
      </w:r>
    </w:p>
    <w:p>
      <w:pPr>
        <w:spacing w:after="120" w:line="360"/>
      </w:pPr>
      <w:r>
        <w:rPr>
          <w:rFonts w:ascii="Times New Roman" w:cs="Times New Roman" w:eastAsia="Times New Roman" w:hAnsi="Times New Roman"/>
          <w:sz w:val="26"/>
          <w:szCs w:val="26"/>
        </w:rPr>
        <w:t xml:space="preserve">- Tham số: Nhận các giá trị tương ứng 0,35 đến 0,75.</w:t>
      </w:r>
    </w:p>
    <w:p>
      <w:pPr>
        <w:spacing w:after="120" w:line="360"/>
      </w:pPr>
      <w:r>
        <w:rPr>
          <w:rFonts w:ascii="Times New Roman" w:cs="Times New Roman" w:eastAsia="Times New Roman" w:hAnsi="Times New Roman"/>
          <w:sz w:val="26"/>
          <w:szCs w:val="26"/>
        </w:rPr>
        <w:t xml:space="preserve">+ Bách phân vị thứ 35 là giá trị của hàm Percentile với tham số bằng 0,35.</w:t>
      </w:r>
    </w:p>
    <w:p>
      <w:pPr>
        <w:spacing w:after="120" w:line="360"/>
      </w:pPr>
      <w:r>
        <w:rPr>
          <w:rFonts w:ascii="Times New Roman" w:cs="Times New Roman" w:eastAsia="Times New Roman" w:hAnsi="Times New Roman"/>
          <w:sz w:val="26"/>
          <w:szCs w:val="26"/>
        </w:rPr>
        <w:t xml:space="preserve">+ Bách phân vị thứ 50 (số trung vị) là giá trị của hàm Percentile với tham số bằng 0,5.</w:t>
      </w:r>
    </w:p>
    <w:p>
      <w:pPr>
        <w:spacing w:after="120" w:line="360"/>
      </w:pPr>
      <w:r>
        <w:rPr>
          <w:rFonts w:ascii="Times New Roman" w:cs="Times New Roman" w:eastAsia="Times New Roman" w:hAnsi="Times New Roman"/>
          <w:sz w:val="26"/>
          <w:szCs w:val="26"/>
        </w:rPr>
        <w:t xml:space="preserve">+ Bách phân vị thứ 75 là giá trị của hàm Percentile với tham số bằng 0,75.</w:t>
      </w:r>
    </w:p>
    <w:p>
      <w:pPr>
        <w:spacing w:after="120" w:line="360"/>
      </w:pPr>
      <w:r>
        <w:rPr>
          <w:rFonts w:ascii="Times New Roman" w:cs="Times New Roman" w:eastAsia="Times New Roman" w:hAnsi="Times New Roman"/>
          <w:sz w:val="26"/>
          <w:szCs w:val="26"/>
        </w:rPr>
        <w:t xml:space="preserve">+ Khoảng giá trị giao dịch độc lập chuẩn là khoảng giá trị từ bách phân vị thứ 35 đến bách phân vị thứ 75.</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Ví dụ minh họa Trong năm 202x, doanh nghiệp A lựa chọn được các doanh nghiệp độc lập để so sánh có các số liệu về tỷ suất lợi nhuận thuần trên tài sản là: 1,0; 1,25; 1,25; 1,5; 1,5; 1,75; 2,0; 2,0; 2,15; 2,25; 2,5; 2,75; 3,0.</w:t>
      </w:r>
    </w:p>
    <w:p>
      <w:pPr>
        <w:spacing w:after="120" w:line="360"/>
      </w:pPr>
      <w:r>
        <w:rPr>
          <w:rFonts w:ascii="Times New Roman" w:cs="Times New Roman" w:eastAsia="Times New Roman" w:hAnsi="Times New Roman"/>
          <w:sz w:val="26"/>
          <w:szCs w:val="26"/>
        </w:rPr>
        <w:t xml:space="preserve">Xác định các giá trị bách phân vị của Hàm Percentile trong excel như sau: Giá trị tỷ suất tìm được Xác định phân vị thứ 35 đến phân vị thứ 75 Giá trị trả về 1.00 Bách phân vị thứ 35 "=Percentile(A5:A17,0.35)" 1.55 1.25 Trung vị "=Percentile(A5:A17,0.5)" 2 1.25 Bách phân vị thứ 75 "=Percentile(A5:A17,0.75)" 2.25 1.50 1.50 1.75 2.00 2.00 2.15 2.25 2.50 2.75 3.00 1 Người nộp thuế đánh dấu “x” vào cột hình thức quan hệ liên kết kê khai theo quy định tại khoản 2 Điều 5 Nghị định số …/2020/NĐ-CP ngày …/…/2020 của Chính phủ.</w:t>
      </w:r>
    </w:p>
    <w:p>
      <w:pPr>
        <w:spacing w:after="120" w:line="360"/>
      </w:pPr>
      <w:r>
        <w:rPr>
          <w:rFonts w:ascii="Times New Roman" w:cs="Times New Roman" w:eastAsia="Times New Roman" w:hAnsi="Times New Roman"/>
          <w:sz w:val="26"/>
          <w:szCs w:val="26"/>
        </w:rPr>
        <w:t xml:space="preserve">Trường hợp bên liên kết thuộc nhiều hơn một hình thức quan hệ liên kết, người nộp thuế đánh dấu “x” vào các ô tương ứng.</w:t>
      </w:r>
    </w:p>
    <w:p>
      <w:pPr>
        <w:spacing w:after="120" w:line="360"/>
      </w:pPr>
      <w:r>
        <w:rPr>
          <w:rFonts w:ascii="Times New Roman" w:cs="Times New Roman" w:eastAsia="Times New Roman" w:hAnsi="Times New Roman"/>
          <w:sz w:val="26"/>
          <w:szCs w:val="26"/>
        </w:rPr>
        <w:t xml:space="preserve">2 Người nộp thuế đánh dấu “x” vào dòng trường hợp miễn trừ áp dụng tương ứng.</w:t>
      </w:r>
    </w:p>
    <w:p>
      <w:pPr>
        <w:spacing w:after="120" w:line="360"/>
      </w:pPr>
      <w:r>
        <w:rPr>
          <w:rFonts w:ascii="Times New Roman" w:cs="Times New Roman" w:eastAsia="Times New Roman" w:hAnsi="Times New Roman"/>
          <w:sz w:val="26"/>
          <w:szCs w:val="26"/>
        </w:rPr>
        <w:t xml:space="preserve">3 Giá trị phân bổ cho cơ sở thường trú cần kê khai và chú thích rõ là phân bổ doanh thu hay chi phí cho cơ sở thường trú.</w:t>
      </w:r>
    </w:p>
    <w:p>
      <w:pPr>
        <w:spacing w:after="120" w:line="360"/>
      </w:pPr>
      <w:r>
        <w:rPr>
          <w:rFonts w:ascii="Times New Roman" w:cs="Times New Roman" w:eastAsia="Times New Roman" w:hAnsi="Times New Roman"/>
          <w:sz w:val="26"/>
          <w:szCs w:val="26"/>
        </w:rPr>
        <w:t xml:space="preserve">4 Người nộp thuế kê khai “x” đối với giao dịch thuộc phạm vi áp dụng APA và “không” đối với giao dịch không thuộc phạm vi áp dụng APA..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2026-08-31T08:15:53.988Z</dcterms:created>
  <dcterms:modified xsi:type="dcterms:W3CDTF">2026-08-31T08:15:53.988Z</dcterms:modified>
</cp:coreProperties>
</file>

<file path=docProps/custom.xml><?xml version="1.0" encoding="utf-8"?>
<Properties xmlns="http://schemas.openxmlformats.org/officeDocument/2006/custom-properties" xmlns:vt="http://schemas.openxmlformats.org/officeDocument/2006/docPropsVTypes"/>
</file>