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181/2025/NĐ-CP quy định chi tiết và hướng dẫn thi hành Luật Thuế Giá trị gia tăng 2024</w:t>
      </w:r>
    </w:p>
    <w:p>
      <w:pPr>
        <w:spacing w:after="360"/>
        <w:jc w:val="center"/>
      </w:pPr>
      <w:r>
        <w:rPr>
          <w:rFonts w:ascii="Times New Roman" w:cs="Times New Roman" w:eastAsia="Times New Roman" w:hAnsi="Times New Roman"/>
          <w:i/>
          <w:iCs/>
          <w:sz w:val="22"/>
          <w:szCs w:val="22"/>
        </w:rPr>
        <w:t xml:space="preserve">Số hiệu: 181/2025/NĐ-CP | Cơ quan ban hành: Chính phủ | Ngày ban hành: 2025-06-30</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181/2025/NĐ-CP Hà Nội, ngày 01 tháng 7 năm 2025 NGHỊ ĐỊNH QUY ĐỊNH CHI TIẾT THI HÀNH MỘT SỐ ĐIỀU CỦA LUẬT THUẾ GIÁ TRỊ GIA TĂNG Căn cứ Luật Tổ chức Chính phủ ngày 18 tháng 02 năm 2025; Căn cứ Luật Thuế giá trị gia tăng ngày 26 tháng 11 năm 2024; 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 Theo đề nghị của Bộ trưởng Bộ Tài chính; Chính phủ ban hành Nghị định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Chương I NHỮNG QUY ĐỊNH CHUNG Điều 1.</w:t>
      </w:r>
    </w:p>
    <w:p>
      <w:pPr>
        <w:spacing w:after="120" w:line="360"/>
      </w:pPr>
      <w:r>
        <w:rPr>
          <w:rFonts w:ascii="Times New Roman" w:cs="Times New Roman" w:eastAsia="Times New Roman" w:hAnsi="Times New Roman"/>
          <w:sz w:val="26"/>
          <w:szCs w:val="26"/>
        </w:rPr>
        <w:t xml:space="preserve">Phạm vi điều chỉnh Nghị định này quy định chi tiết về người nộp thuế tại khoản 1, 4 và khoản 5 Điều 4 và người nộp thuế trong trường hợp nhà cung cấp nước ngoài cung cấp dịch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khoản 1, 2 Điều 9, phương pháp khấu trừ thuế tại Điều 11, phương pháp tính trực tiếp tại khoản 1 Điều 12, khấu trừ thuế giá trị gia tăng đầu vào tại Điều 14 và hoàn thuế giá trị gia tăng tại Điều 15 của Luật Thuế giá trị gia tăng.</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Đối tượng áp dụng của Nghị định này bao gồm: 1.</w:t>
      </w:r>
    </w:p>
    <w:p>
      <w:pPr>
        <w:spacing w:after="120" w:line="360"/>
      </w:pPr>
      <w:r>
        <w:rPr>
          <w:rFonts w:ascii="Times New Roman" w:cs="Times New Roman" w:eastAsia="Times New Roman" w:hAnsi="Times New Roman"/>
          <w:sz w:val="26"/>
          <w:szCs w:val="26"/>
        </w:rPr>
        <w:t xml:space="preserve">Người nộp thuế quy định tại Điều 3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quản lý thuế theo quy định của pháp luật về quản lý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tổ chức, cá nhân khác có liên quan.</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Người nộp thuế Người nộp thuế thực hiện theo quy định tại Điều 4 Luật Thuế giá trị gia tăng.</w:t>
      </w:r>
    </w:p>
    <w:p>
      <w:pPr>
        <w:spacing w:after="120" w:line="360"/>
      </w:pPr>
      <w:r>
        <w:rPr>
          <w:rFonts w:ascii="Times New Roman" w:cs="Times New Roman" w:eastAsia="Times New Roman" w:hAnsi="Times New Roman"/>
          <w:sz w:val="26"/>
          <w:szCs w:val="26"/>
        </w:rPr>
        <w:t xml:space="preserve">Một số trường hợp được quy định chi tiết như sau: 1.</w:t>
      </w:r>
    </w:p>
    <w:p>
      <w:pPr>
        <w:spacing w:after="120" w:line="360"/>
      </w:pPr>
      <w:r>
        <w:rPr>
          <w:rFonts w:ascii="Times New Roman" w:cs="Times New Roman" w:eastAsia="Times New Roman" w:hAnsi="Times New Roman"/>
          <w:sz w:val="26"/>
          <w:szCs w:val="26"/>
        </w:rPr>
        <w:t xml:space="preserve">Người nộp thuế quy định tại khoản 1 Điều 4 Luật Thuế giá trị gia tăng bao gồm: a) Các tổ chức được thành lập và đăng ký kinh doanh theo Luật Doanh nghiệp, Luật Hợp tác xã và pháp luật chuyên ngành khác.</w:t>
      </w:r>
    </w:p>
    <w:p>
      <w:pPr>
        <w:spacing w:after="120" w:line="360"/>
      </w:pPr>
      <w:r>
        <w:rPr>
          <w:rFonts w:ascii="Times New Roman" w:cs="Times New Roman" w:eastAsia="Times New Roman" w:hAnsi="Times New Roman"/>
          <w:sz w:val="26"/>
          <w:szCs w:val="26"/>
        </w:rPr>
        <w:t xml:space="preserve">b) Các tổ chức kinh tế của tổ chức chính trị, tổ chức chính trị - xã hội, tổ chức xã hội, tổ chức xã hội - nghề nghiệp, đơn vị vũ trang nhân dân, tổ chức sự nghiệp và các tổ chức khác.</w:t>
      </w:r>
    </w:p>
    <w:p>
      <w:pPr>
        <w:spacing w:after="120" w:line="360"/>
      </w:pPr>
      <w:r>
        <w:rPr>
          <w:rFonts w:ascii="Times New Roman" w:cs="Times New Roman" w:eastAsia="Times New Roman" w:hAnsi="Times New Roman"/>
          <w:sz w:val="26"/>
          <w:szCs w:val="26"/>
        </w:rPr>
        <w:t xml:space="preserve">c) Các doanh nghiệp có vốn đầu tư nước ngoài và bên nước ngoài tham gia hợp tác kinh doanh theo Luật Đầu tư; các tổ chức, cá nhân nước ngoài hoạt động kinh doanh ở Việt Nam nhưng không thành lập pháp nhân tại Việt Nam.</w:t>
      </w:r>
    </w:p>
    <w:p>
      <w:pPr>
        <w:spacing w:after="120" w:line="360"/>
      </w:pPr>
      <w:r>
        <w:rPr>
          <w:rFonts w:ascii="Times New Roman" w:cs="Times New Roman" w:eastAsia="Times New Roman" w:hAnsi="Times New Roman"/>
          <w:sz w:val="26"/>
          <w:szCs w:val="26"/>
        </w:rPr>
        <w:t xml:space="preserve">d) Doanh nghiệp chế xuất thực hiện các hoạt động kinh doanh khác theo quy định của pháp luật về quản lý khu công nghiệp và khu kinh tế.</w:t>
      </w:r>
    </w:p>
    <w:p>
      <w:pPr>
        <w:spacing w:after="120" w:line="360"/>
      </w:pPr>
      <w:r>
        <w:rPr>
          <w:rFonts w:ascii="Times New Roman" w:cs="Times New Roman" w:eastAsia="Times New Roman" w:hAnsi="Times New Roman"/>
          <w:sz w:val="26"/>
          <w:szCs w:val="26"/>
        </w:rPr>
        <w:t xml:space="preserve">đ) Hộ, cá nhân sản xuất, kinh doanh; nhóm người kinh doanh độc lập.</w:t>
      </w:r>
    </w:p>
    <w:p>
      <w:pPr>
        <w:spacing w:after="120" w:line="360"/>
      </w:pPr>
      <w:r>
        <w:rPr>
          <w:rFonts w:ascii="Times New Roman" w:cs="Times New Roman" w:eastAsia="Times New Roman" w:hAnsi="Times New Roman"/>
          <w:sz w:val="26"/>
          <w:szCs w:val="26"/>
        </w:rPr>
        <w:t xml:space="preserve">e) Tổ chức, cá nhân khác có hoạt động sản xuất,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quy định tại khoản 4, khoản 5 Điều 4 Luật Thuế giá trị gia tăng gồm: 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p>
    <w:p>
      <w:pPr>
        <w:spacing w:after="120" w:line="360"/>
      </w:pPr>
      <w:r>
        <w:rPr>
          <w:rFonts w:ascii="Times New Roman" w:cs="Times New Roman" w:eastAsia="Times New Roman" w:hAnsi="Times New Roman"/>
          <w:sz w:val="26"/>
          <w:szCs w:val="26"/>
        </w:rPr>
        <w:t xml:space="preserve">Việc thực hiện khấu trừ, nộp thay nghĩa vụ thuế phải nộp của nhà cung cấp nước ngoài của người nộp thuế quy định tại điểm này thực hiện theo quy định của pháp luật về quản lý thuế.</w:t>
      </w:r>
    </w:p>
    <w:p>
      <w:pPr>
        <w:spacing w:after="120" w:line="360"/>
      </w:pPr>
      <w:r>
        <w:rPr>
          <w:rFonts w:ascii="Times New Roman" w:cs="Times New Roman" w:eastAsia="Times New Roman" w:hAnsi="Times New Roman"/>
          <w:sz w:val="26"/>
          <w:szCs w:val="26"/>
        </w:rPr>
        <w:t xml:space="preserve">b) Người nộp thuế quy định tại khoản 5 Điều 4 Luật Thuế giá trị gia tăng là tổ chức quản lý sàn giao dịch thương mại điện tử, tổ chức quản lý nền tảng số có chức năng thanh toán thực hiện theo quy định của Nghị định số 117/2025/NĐ-CP ngày 09 tháng 6 năm 2025 của Chính phủ quy định quản lý thuế đối với hoạt động kinh doanh trên nền tảng thương mại điện tử, nền tảng số của hộ, cá nhân.</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Đối tượng không chịu thuế Đối tượng không chịu thuế thực hiện theo quy định tại Điều 5 Luật Thuế giá trị gia tăng.</w:t>
      </w:r>
    </w:p>
    <w:p>
      <w:pPr>
        <w:spacing w:after="120" w:line="360"/>
      </w:pPr>
      <w:r>
        <w:rPr>
          <w:rFonts w:ascii="Times New Roman" w:cs="Times New Roman" w:eastAsia="Times New Roman" w:hAnsi="Times New Roman"/>
          <w:sz w:val="26"/>
          <w:szCs w:val="26"/>
        </w:rPr>
        <w:t xml:space="preserve">Một số trường hợp được quy định chi tiết như sau: 1.</w:t>
      </w:r>
    </w:p>
    <w:p>
      <w:pPr>
        <w:spacing w:after="120" w:line="360"/>
      </w:pPr>
      <w:r>
        <w:rPr>
          <w:rFonts w:ascii="Times New Roman" w:cs="Times New Roman" w:eastAsia="Times New Roman" w:hAnsi="Times New Roman"/>
          <w:sz w:val="26"/>
          <w:szCs w:val="26"/>
        </w:rPr>
        <w:t xml:space="preserve">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pPr>
        <w:spacing w:after="120" w:line="360"/>
      </w:pPr>
      <w:r>
        <w:rPr>
          <w:rFonts w:ascii="Times New Roman" w:cs="Times New Roman" w:eastAsia="Times New Roman" w:hAnsi="Times New Roman"/>
          <w:sz w:val="26"/>
          <w:szCs w:val="26"/>
        </w:rPr>
        <w:t xml:space="preserve">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spacing w:after="120" w:line="360"/>
      </w:pPr>
      <w:r>
        <w:rPr>
          <w:rFonts w:ascii="Times New Roman" w:cs="Times New Roman" w:eastAsia="Times New Roman" w:hAnsi="Times New Roman"/>
          <w:sz w:val="26"/>
          <w:szCs w:val="26"/>
        </w:rPr>
        <w:t xml:space="preserve">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Nhà ở thuộc tài sản công do Nhà nước bán cho người đang thuê.</w:t>
      </w:r>
    </w:p>
    <w:p>
      <w:pPr>
        <w:spacing w:after="120" w:line="360"/>
      </w:pPr>
      <w:r>
        <w:rPr>
          <w:rFonts w:ascii="Times New Roman" w:cs="Times New Roman" w:eastAsia="Times New Roman" w:hAnsi="Times New Roman"/>
          <w:sz w:val="26"/>
          <w:szCs w:val="26"/>
        </w:rPr>
        <w:t xml:space="preserve">Trong đó, nhà ở thuộc tài sản công theo quy định của pháp luật về nhà ở.</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Chuyển quyền sử dụng đất theo quy định của pháp luật về đất đai.</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dịch vụ tài chính, ngân hàng, kinh doanh chứng khoán, thương mại sau đây: a) Dịch vụ cấp tín dụng theo quy định của pháp luật về các tổ chức tín dụng và các khoản phí được nêu cụ thể tại Hợp đồng vay vốn của Chính phủ Việt Nam với Bên cho vay nước ngoài.</w:t>
      </w:r>
    </w:p>
    <w:p>
      <w:pPr>
        <w:spacing w:after="120" w:line="360"/>
      </w:pPr>
      <w:r>
        <w:rPr>
          <w:rFonts w:ascii="Times New Roman" w:cs="Times New Roman" w:eastAsia="Times New Roman" w:hAnsi="Times New Roman"/>
          <w:sz w:val="26"/>
          <w:szCs w:val="26"/>
        </w:rPr>
        <w:t xml:space="preserve">b) Dịch vụ cho vay của người nộp thuế không phải là tổ chức tín dụng.</w:t>
      </w:r>
    </w:p>
    <w:p>
      <w:pPr>
        <w:spacing w:after="120" w:line="360"/>
      </w:pPr>
      <w:r>
        <w:rPr>
          <w:rFonts w:ascii="Times New Roman" w:cs="Times New Roman" w:eastAsia="Times New Roman" w:hAnsi="Times New Roman"/>
          <w:sz w:val="26"/>
          <w:szCs w:val="26"/>
        </w:rPr>
        <w:t xml:space="preserve">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pPr>
        <w:spacing w:after="120" w:line="360"/>
      </w:pPr>
      <w:r>
        <w:rPr>
          <w:rFonts w:ascii="Times New Roman" w:cs="Times New Roman" w:eastAsia="Times New Roman" w:hAnsi="Times New Roman"/>
          <w:sz w:val="26"/>
          <w:szCs w:val="26"/>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w:t>
      </w:r>
    </w:p>
    <w:p>
      <w:pPr>
        <w:spacing w:after="120" w:line="360"/>
      </w:pPr>
      <w:r>
        <w:rPr>
          <w:rFonts w:ascii="Times New Roman" w:cs="Times New Roman" w:eastAsia="Times New Roman" w:hAnsi="Times New Roman"/>
          <w:sz w:val="26"/>
          <w:szCs w:val="26"/>
        </w:rPr>
        <w:t xml:space="preserve">Chuyển nhượng vốn quy định tại điểm này không bao gồm chuyển nhượng dự án đầu tư, bán tài sản.</w:t>
      </w:r>
    </w:p>
    <w:p>
      <w:pPr>
        <w:spacing w:after="120" w:line="360"/>
      </w:pPr>
      <w:r>
        <w:rPr>
          <w:rFonts w:ascii="Times New Roman" w:cs="Times New Roman" w:eastAsia="Times New Roman" w:hAnsi="Times New Roman"/>
          <w:sz w:val="26"/>
          <w:szCs w:val="26"/>
        </w:rPr>
        <w:t xml:space="preserve">đ) Bán nợ bao gồm bán khoản phải trả và khoản phải thu, bán chứng chỉ tiền gửi giữa người nộp thuế không phải là tổ chức tín dụng.</w:t>
      </w:r>
    </w:p>
    <w:p>
      <w:pPr>
        <w:spacing w:after="120" w:line="360"/>
      </w:pPr>
      <w:r>
        <w:rPr>
          <w:rFonts w:ascii="Times New Roman" w:cs="Times New Roman" w:eastAsia="Times New Roman" w:hAnsi="Times New Roman"/>
          <w:sz w:val="26"/>
          <w:szCs w:val="26"/>
        </w:rPr>
        <w:t xml:space="preserve">e) Kinh doanh ngoại tệ.</w:t>
      </w:r>
    </w:p>
    <w:p>
      <w:pPr>
        <w:spacing w:after="120" w:line="360"/>
      </w:pPr>
      <w:r>
        <w:rPr>
          <w:rFonts w:ascii="Times New Roman" w:cs="Times New Roman" w:eastAsia="Times New Roman" w:hAnsi="Times New Roman"/>
          <w:sz w:val="26"/>
          <w:szCs w:val="26"/>
        </w:rPr>
        <w:t xml:space="preserve">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spacing w:after="120" w:line="360"/>
      </w:pPr>
      <w:r>
        <w:rPr>
          <w:rFonts w:ascii="Times New Roman" w:cs="Times New Roman" w:eastAsia="Times New Roman" w:hAnsi="Times New Roman"/>
          <w:sz w:val="26"/>
          <w:szCs w:val="26"/>
        </w:rPr>
        <w:t xml:space="preserve">h) Bán tài sản bảo đảm của khoản nợ của tổ chức mà Nhà nước sở hữu 100% vốn điều lệ do Chính phủ thành lập có chức năng mua, bán nợ để xử lý nợ xấu của các tổ chức tín dụng Việt Nam.</w:t>
      </w:r>
    </w:p>
    <w:p>
      <w:pPr>
        <w:spacing w:after="120" w:line="360"/>
      </w:pPr>
      <w:r>
        <w:rPr>
          <w:rFonts w:ascii="Times New Roman" w:cs="Times New Roman" w:eastAsia="Times New Roman" w:hAnsi="Times New Roman"/>
          <w:sz w:val="26"/>
          <w:szCs w:val="26"/>
        </w:rPr>
        <w:t xml:space="preserve">Bộ Tài chính quy định chi tiết các dịch vụ kinh doanh chứng khoán và chuyển nhượng chứng khoán quy định tại điểm c và điểm d khoản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w:t>
      </w:r>
    </w:p>
    <w:p>
      <w:pPr>
        <w:spacing w:after="120" w:line="360"/>
      </w:pPr>
      <w:r>
        <w:rPr>
          <w:rFonts w:ascii="Times New Roman" w:cs="Times New Roman" w:eastAsia="Times New Roman" w:hAnsi="Times New Roman"/>
          <w:sz w:val="26"/>
          <w:szCs w:val="26"/>
        </w:rPr>
        <w:t xml:space="preserve">Trong đó: a) Nguồn vốn đóng góp của nhân dân bao gồm cả vốn đóng góp, tài trợ của tổ chức, cá nhân.</w:t>
      </w:r>
    </w:p>
    <w:p>
      <w:pPr>
        <w:spacing w:after="120" w:line="360"/>
      </w:pPr>
      <w:r>
        <w:rPr>
          <w:rFonts w:ascii="Times New Roman" w:cs="Times New Roman" w:eastAsia="Times New Roman" w:hAnsi="Times New Roman"/>
          <w:sz w:val="26"/>
          <w:szCs w:val="26"/>
        </w:rPr>
        <w:t xml:space="preserve">b) Di tích lịch sử - văn hóa, danh lam thắng cảnh quy định tại khoản này thực hiện theo quy định của pháp luật về di sản văn hóa.</w:t>
      </w:r>
    </w:p>
    <w:p>
      <w:pPr>
        <w:spacing w:after="120" w:line="360"/>
      </w:pPr>
      <w:r>
        <w:rPr>
          <w:rFonts w:ascii="Times New Roman" w:cs="Times New Roman" w:eastAsia="Times New Roman" w:hAnsi="Times New Roman"/>
          <w:sz w:val="26"/>
          <w:szCs w:val="26"/>
        </w:rPr>
        <w:t xml:space="preserve">c) Công trình phục vụ công cộng, cơ sở hạ tầng là công trình không phục vụ mục đích kinh doanh, không thu tiền.</w:t>
      </w:r>
    </w:p>
    <w:p>
      <w:pPr>
        <w:spacing w:after="120" w:line="360"/>
      </w:pPr>
      <w:r>
        <w:rPr>
          <w:rFonts w:ascii="Times New Roman" w:cs="Times New Roman" w:eastAsia="Times New Roman" w:hAnsi="Times New Roman"/>
          <w:sz w:val="26"/>
          <w:szCs w:val="26"/>
        </w:rPr>
        <w:t xml:space="preserve">Công trình quy định tại điểm này được thực hiện theo quy định tại điểm 2 Mục I và Mục III Phụ lục I ban hành kèm theo Nghị định số 06/2021/NĐ-CP ngày 26 tháng 01 năm 2021 của Chính phủ quy định chi tiết về quản lý chất lượng, thi công xây dựng và bảo trì công trình xây dựng.</w:t>
      </w:r>
    </w:p>
    <w:p>
      <w:pPr>
        <w:spacing w:after="120" w:line="360"/>
      </w:pPr>
      <w:r>
        <w:rPr>
          <w:rFonts w:ascii="Times New Roman" w:cs="Times New Roman" w:eastAsia="Times New Roman" w:hAnsi="Times New Roman"/>
          <w:sz w:val="26"/>
          <w:szCs w:val="26"/>
        </w:rPr>
        <w:t xml:space="preserve">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Hoạt động dạy học, dạy nghề theo quy định của pháp luật về giáo dục, giáo dục nghề nghiệp.</w:t>
      </w:r>
    </w:p>
    <w:p>
      <w:pPr>
        <w:spacing w:after="120" w:line="360"/>
      </w:pPr>
      <w:r>
        <w:rPr>
          <w:rFonts w:ascii="Times New Roman" w:cs="Times New Roman" w:eastAsia="Times New Roman" w:hAnsi="Times New Roman"/>
          <w:sz w:val="26"/>
          <w:szCs w:val="26"/>
        </w:rPr>
        <w:t xml:space="preserve">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w:t>
      </w:r>
    </w:p>
    <w:p>
      <w:pPr>
        <w:spacing w:after="120" w:line="360"/>
      </w:pPr>
      <w:r>
        <w:rPr>
          <w:rFonts w:ascii="Times New Roman" w:cs="Times New Roman" w:eastAsia="Times New Roman" w:hAnsi="Times New Roman"/>
          <w:sz w:val="26"/>
          <w:szCs w:val="26"/>
        </w:rPr>
        <w:t xml:space="preserve">Trong đó: 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pPr>
        <w:spacing w:after="120" w:line="360"/>
      </w:pPr>
      <w:r>
        <w:rPr>
          <w:rFonts w:ascii="Times New Roman" w:cs="Times New Roman" w:eastAsia="Times New Roman" w:hAnsi="Times New Roman"/>
          <w:sz w:val="26"/>
          <w:szCs w:val="26"/>
        </w:rPr>
        <w:t xml:space="preserve">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pPr>
        <w:spacing w:after="120" w:line="360"/>
      </w:pPr>
      <w:r>
        <w:rPr>
          <w:rFonts w:ascii="Times New Roman" w:cs="Times New Roman" w:eastAsia="Times New Roman" w:hAnsi="Times New Roman"/>
          <w:sz w:val="26"/>
          <w:szCs w:val="26"/>
        </w:rPr>
        <w:t xml:space="preserve">c) Giáo trình là sách dùng để giảng dạy và học tập trong các trường đại học, cao đẳng, trung học chuyên nghiệp và dạy nghề.</w:t>
      </w:r>
    </w:p>
    <w:p>
      <w:pPr>
        <w:spacing w:after="120" w:line="360"/>
      </w:pPr>
      <w:r>
        <w:rPr>
          <w:rFonts w:ascii="Times New Roman" w:cs="Times New Roman" w:eastAsia="Times New Roman" w:hAnsi="Times New Roman"/>
          <w:sz w:val="26"/>
          <w:szCs w:val="26"/>
        </w:rPr>
        <w:t xml:space="preserve">d) Sách văn bản pháp luật là sách in các văn bản quy phạm pháp luật của Nhà nước.</w:t>
      </w:r>
    </w:p>
    <w:p>
      <w:pPr>
        <w:spacing w:after="120" w:line="360"/>
      </w:pPr>
      <w:r>
        <w:rPr>
          <w:rFonts w:ascii="Times New Roman" w:cs="Times New Roman" w:eastAsia="Times New Roman" w:hAnsi="Times New Roman"/>
          <w:sz w:val="26"/>
          <w:szCs w:val="26"/>
        </w:rPr>
        <w:t xml:space="preserve">đ) Sách khoa học - kỹ thuật là sách dùng để giới thiệu, hướng dẫn những kiến thức khoa học, kỹ thuật có quan hệ trực tiếp đến sản xuất và các ngành khoa học, kỹ thuật.</w:t>
      </w:r>
    </w:p>
    <w:p>
      <w:pPr>
        <w:spacing w:after="120" w:line="360"/>
      </w:pPr>
      <w:r>
        <w:rPr>
          <w:rFonts w:ascii="Times New Roman" w:cs="Times New Roman" w:eastAsia="Times New Roman" w:hAnsi="Times New Roman"/>
          <w:sz w:val="26"/>
          <w:szCs w:val="26"/>
        </w:rPr>
        <w:t xml:space="preserve">e) Sách in bằng chữ dân tộc thiểu số bao gồm cả sách in song ngữ chữ phổ thông và chữ dân tộc thiểu số.</w:t>
      </w:r>
    </w:p>
    <w:p>
      <w:pPr>
        <w:spacing w:after="120" w:line="360"/>
      </w:pPr>
      <w:r>
        <w:rPr>
          <w:rFonts w:ascii="Times New Roman" w:cs="Times New Roman" w:eastAsia="Times New Roman" w:hAnsi="Times New Roman"/>
          <w:sz w:val="26"/>
          <w:szCs w:val="26"/>
        </w:rPr>
        <w:t xml:space="preserve">g) Tranh, ảnh, áp phích tuyên truyền cổ động là tranh, ảnh, áp phích, các loại tờ rơi, tờ gấp phục vụ cho mục đích tuyên truyền, cổ động, khẩu hiệu, ảnh lãnh tụ, Đảng kỳ, Quốc kỳ, Đoàn kỳ, Đội kỳ.</w:t>
      </w:r>
    </w:p>
    <w:p>
      <w:pPr>
        <w:spacing w:after="120" w:line="360"/>
      </w:pPr>
      <w:r>
        <w:rPr>
          <w:rFonts w:ascii="Times New Roman" w:cs="Times New Roman" w:eastAsia="Times New Roman" w:hAnsi="Times New Roman"/>
          <w:sz w:val="26"/>
          <w:szCs w:val="26"/>
        </w:rPr>
        <w:t xml:space="preserve">h) Sách phục vụ thông tin đối ngoại, trong đó thông tin đối ngoại thực hiện theo Nghị định số 72/2015/NĐ-CP ngày 07 tháng 9 năm 2015 của Chính phủ về quản lý hoạt động thông tin đối ngoại.</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Vận chuyển hành khách công cộng bằng xe buýt, tàu điện, phương tiện thủy nội địa thực hiện nội tỉnh, trong đô thị và các tuyến lân cận ngoại tỉnh có các điểm dừng đón, trả khách.</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pPr>
        <w:spacing w:after="120" w:line="360"/>
      </w:pPr>
      <w:r>
        <w:rPr>
          <w:rFonts w:ascii="Times New Roman" w:cs="Times New Roman" w:eastAsia="Times New Roman" w:hAnsi="Times New Roman"/>
          <w:sz w:val="26"/>
          <w:szCs w:val="26"/>
        </w:rPr>
        <w:t xml:space="preserve">Trong đó: 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Hàng hóa nhập khẩu trong trường hợp viện trợ nhân đạo, viện trợ không hoàn lại.</w:t>
      </w:r>
    </w:p>
    <w:p>
      <w:pPr>
        <w:spacing w:after="120" w:line="360"/>
      </w:pPr>
      <w:r>
        <w:rPr>
          <w:rFonts w:ascii="Times New Roman" w:cs="Times New Roman" w:eastAsia="Times New Roman" w:hAnsi="Times New Roman"/>
          <w:sz w:val="26"/>
          <w:szCs w:val="26"/>
        </w:rPr>
        <w:t xml:space="preserve">Hàng hóa, dịch vụ bán cho tổ chức, cá nhân nước ngoài, tổ chức quốc tế để viện trợ nhân đạo, viện trợ không hoàn lại cho Việt Nam.</w:t>
      </w:r>
    </w:p>
    <w:p>
      <w:pPr>
        <w:spacing w:after="120" w:line="360"/>
      </w:pPr>
      <w:r>
        <w:rPr>
          <w:rFonts w:ascii="Times New Roman" w:cs="Times New Roman" w:eastAsia="Times New Roman" w:hAnsi="Times New Roman"/>
          <w:sz w:val="26"/>
          <w:szCs w:val="26"/>
        </w:rPr>
        <w:t xml:space="preserve">Trong đó: 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pPr>
        <w:spacing w:after="120" w:line="360"/>
      </w:pPr>
      <w:r>
        <w:rPr>
          <w:rFonts w:ascii="Times New Roman" w:cs="Times New Roman" w:eastAsia="Times New Roman" w:hAnsi="Times New Roman"/>
          <w:sz w:val="26"/>
          <w:szCs w:val="26"/>
        </w:rPr>
        <w:t xml:space="preserve">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w:t>
      </w:r>
    </w:p>
    <w:p>
      <w:pPr>
        <w:spacing w:after="120" w:line="360"/>
      </w:pPr>
      <w:r>
        <w:rPr>
          <w:rFonts w:ascii="Times New Roman" w:cs="Times New Roman" w:eastAsia="Times New Roman" w:hAnsi="Times New Roman"/>
          <w:sz w:val="26"/>
          <w:szCs w:val="26"/>
        </w:rPr>
        <w:t xml:space="preserve">Các cơ quan, đơn vị nhận viện trợ nhân đạo, viện trợ không hoàn lại có trách nhiệm xác nhận theo đề nghị của tổ chức, cá nhân nước ngoài, tổ chức quốc tế.</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p>
    <w:p>
      <w:pPr>
        <w:spacing w:after="120" w:line="360"/>
      </w:pPr>
      <w:r>
        <w:rPr>
          <w:rFonts w:ascii="Times New Roman" w:cs="Times New Roman" w:eastAsia="Times New Roman" w:hAnsi="Times New Roman"/>
          <w:sz w:val="26"/>
          <w:szCs w:val="26"/>
        </w:rPr>
        <w:t xml:space="preserve">Hàng hóa nhập khẩu từ nước ngoài của công ty cho thuê tài chính được vận chuyển thẳng vào khu phi thuế quan để cho doanh nghiệp trong khu phi thuế quan thuê tài chính.</w:t>
      </w:r>
    </w:p>
    <w:p>
      <w:pPr>
        <w:spacing w:after="120" w:line="360"/>
      </w:pPr>
      <w:r>
        <w:rPr>
          <w:rFonts w:ascii="Times New Roman" w:cs="Times New Roman" w:eastAsia="Times New Roman" w:hAnsi="Times New Roman"/>
          <w:sz w:val="26"/>
          <w:szCs w:val="26"/>
        </w:rPr>
        <w:t xml:space="preserve">Khu phi thuế quan thực hiện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Chuyển giao công nghệ theo quy định của Luật Chuyển giao công nghệ; chuyển nhượng quyền sở hữu trí tuệ theo quy định của Luật Sở hữu trí tuệ; sản phẩm phần mềm và dịch vụ phần mềm theo quy định của pháp luật về công nghệ thông tin, pháp luật về công nghiệp công nghệ số và pháp luật liên quan.</w:t>
      </w:r>
    </w:p>
    <w:p>
      <w:pPr>
        <w:spacing w:after="120" w:line="360"/>
      </w:pPr>
      <w:r>
        <w:rPr>
          <w:rFonts w:ascii="Times New Roman" w:cs="Times New Roman" w:eastAsia="Times New Roman" w:hAnsi="Times New Roman"/>
          <w:sz w:val="26"/>
          <w:szCs w:val="26"/>
        </w:rPr>
        <w:t xml:space="preserve">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 Phụ lục I, Phụ lục II) ban hành kèm theo Nghị định này.</w:t>
      </w:r>
    </w:p>
    <w:p>
      <w:pPr>
        <w:spacing w:after="120" w:line="360"/>
      </w:pPr>
      <w:r>
        <w:rPr>
          <w:rFonts w:ascii="Times New Roman" w:cs="Times New Roman" w:eastAsia="Times New Roman" w:hAnsi="Times New Roman"/>
          <w:sz w:val="26"/>
          <w:szCs w:val="26"/>
        </w:rPr>
        <w:t xml:space="preserve">Trong trường hợp cần thiết phải điều chỉnh sản phẩm xuất khẩu tại Danh mục ( Phụ lục I, Phụ lục II) để phù hợp với bối cảnh kinh tế - xã hội trong từng thời kỳ, giao Bộ Tài chính phối hợp với các bộ liên quan báo cáo Chính phủ xem xét, quyết định.</w:t>
      </w:r>
    </w:p>
    <w:p>
      <w:pPr>
        <w:spacing w:after="120" w:line="360"/>
      </w:pPr>
      <w:r>
        <w:rPr>
          <w:rFonts w:ascii="Times New Roman" w:cs="Times New Roman" w:eastAsia="Times New Roman" w:hAnsi="Times New Roman"/>
          <w:sz w:val="26"/>
          <w:szCs w:val="26"/>
        </w:rPr>
        <w:t xml:space="preserve">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Hàng hóa nhập khẩu trong trường hợp sau: 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c) Hàng hóa trong tiêu chuẩn hành lý miễn thuế nhập khẩu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w:t>
      </w:r>
    </w:p>
    <w:p>
      <w:pPr>
        <w:spacing w:after="120" w:line="360"/>
      </w:pPr>
      <w:r>
        <w:rPr>
          <w:rFonts w:ascii="Times New Roman" w:cs="Times New Roman" w:eastAsia="Times New Roman" w:hAnsi="Times New Roman"/>
          <w:sz w:val="26"/>
          <w:szCs w:val="26"/>
        </w:rPr>
        <w:t xml:space="preserve">Các cơ quan, tổ chức tiếp nhận có trách nhiệm ban hành văn bản tiếp nhận theo đề nghị của tổ chức, cá nhân ủng hộ, tài trợ.</w:t>
      </w:r>
    </w:p>
    <w:p>
      <w:pPr>
        <w:spacing w:after="120" w:line="360"/>
      </w:pPr>
      <w:r>
        <w:rPr>
          <w:rFonts w:ascii="Times New Roman" w:cs="Times New Roman" w:eastAsia="Times New Roman" w:hAnsi="Times New Roman"/>
          <w:sz w:val="26"/>
          <w:szCs w:val="26"/>
        </w:rPr>
        <w:t xml:space="preserve">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e) Di vật, cổ vật, bảo vật quốc gia theo quy định của pháp luật về di sản văn hóa do cơ quan nhà nước có thẩm quyền nhập khẩu bao gồm cả trường hợp ủy quyền và ủy thác nhập khẩu.</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khoản 1 Điều 9 của Luật Thuế giá trị gia tăng.</w:t>
      </w:r>
    </w:p>
    <w:p>
      <w:pPr>
        <w:spacing w:after="120" w:line="360"/>
      </w:pPr>
      <w:r>
        <w:rPr>
          <w:rFonts w:ascii="Times New Roman" w:cs="Times New Roman" w:eastAsia="Times New Roman" w:hAnsi="Times New Roman"/>
          <w:sz w:val="26"/>
          <w:szCs w:val="26"/>
        </w:rPr>
        <w:t xml:space="preserve">Chương II CĂN CỨ VÀ PHƯƠNG PHÁP TÍNH THUẾ Mục 1.</w:t>
      </w:r>
    </w:p>
    <w:p>
      <w:pPr>
        <w:spacing w:after="120" w:line="360"/>
      </w:pPr>
      <w:r>
        <w:rPr>
          <w:rFonts w:ascii="Times New Roman" w:cs="Times New Roman" w:eastAsia="Times New Roman" w:hAnsi="Times New Roman"/>
          <w:sz w:val="26"/>
          <w:szCs w:val="26"/>
        </w:rPr>
        <w:t xml:space="preserve">GIÁ TÍNH THUẾ Điều 5.</w:t>
      </w:r>
    </w:p>
    <w:p>
      <w:pPr>
        <w:spacing w:after="120" w:line="360"/>
      </w:pPr>
      <w:r>
        <w:rPr>
          <w:rFonts w:ascii="Times New Roman" w:cs="Times New Roman" w:eastAsia="Times New Roman" w:hAnsi="Times New Roman"/>
          <w:sz w:val="26"/>
          <w:szCs w:val="26"/>
        </w:rPr>
        <w:t xml:space="preserve">Giá tính thuế đối với hàng hóa, dịch vụ bán ra và hàng hóa nhập khẩu 1.</w:t>
      </w:r>
    </w:p>
    <w:p>
      <w:pPr>
        <w:spacing w:after="120" w:line="360"/>
      </w:pPr>
      <w:r>
        <w:rPr>
          <w:rFonts w:ascii="Times New Roman" w:cs="Times New Roman" w:eastAsia="Times New Roman" w:hAnsi="Times New Roman"/>
          <w:sz w:val="26"/>
          <w:szCs w:val="26"/>
        </w:rPr>
        <w:t xml:space="preserve">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p>
    <w:p>
      <w:pPr>
        <w:spacing w:after="120" w:line="360"/>
      </w:pPr>
      <w:r>
        <w:rPr>
          <w:rFonts w:ascii="Times New Roman" w:cs="Times New Roman" w:eastAsia="Times New Roman" w:hAnsi="Times New Roman"/>
          <w:sz w:val="26"/>
          <w:szCs w:val="26"/>
        </w:rPr>
        <w:t xml:space="preserve">a) Trường hợp hàng hóa nhập khẩu được miễn thuế nhập khẩu thì giá tính thuế giá trị gia tăng là trị giá tính thuế nhập khẩu.</w:t>
      </w:r>
    </w:p>
    <w:p>
      <w:pPr>
        <w:spacing w:after="120" w:line="360"/>
      </w:pPr>
      <w:r>
        <w:rPr>
          <w:rFonts w:ascii="Times New Roman" w:cs="Times New Roman" w:eastAsia="Times New Roman" w:hAnsi="Times New Roman"/>
          <w:sz w:val="26"/>
          <w:szCs w:val="26"/>
        </w:rPr>
        <w:t xml:space="preserve">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pPr>
        <w:spacing w:after="120" w:line="360"/>
      </w:pPr>
      <w:r>
        <w:rPr>
          <w:rFonts w:ascii="Times New Roman" w:cs="Times New Roman" w:eastAsia="Times New Roman" w:hAnsi="Times New Roman"/>
          <w:sz w:val="26"/>
          <w:szCs w:val="26"/>
        </w:rPr>
        <w:t xml:space="preserve">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Giá tính thuế đối với hàng hóa, dịch vụ dùng để trao đổi, tiêu dùng nội bộ, biếu, tặng, cho và hàng hóa, dịch vụ dùng để khuyến mại 1.</w:t>
      </w:r>
    </w:p>
    <w:p>
      <w:pPr>
        <w:spacing w:after="120" w:line="360"/>
      </w:pPr>
      <w:r>
        <w:rPr>
          <w:rFonts w:ascii="Times New Roman" w:cs="Times New Roman" w:eastAsia="Times New Roman" w:hAnsi="Times New Roman"/>
          <w:sz w:val="26"/>
          <w:szCs w:val="26"/>
        </w:rPr>
        <w:t xml:space="preserve">Đối với hàng hóa, dịch vụ dùng để trao đổi, tiêu dùng nội bộ, biếu, tặng, cho là giá tính thuế giá trị gia tăng của hàng hóa, dịch vụ cùng loại hoặc tương đương tại thời điểm phát sinh các hoạt động này.</w:t>
      </w:r>
    </w:p>
    <w:p>
      <w:pPr>
        <w:spacing w:after="120" w:line="360"/>
      </w:pPr>
      <w:r>
        <w:rPr>
          <w:rFonts w:ascii="Times New Roman" w:cs="Times New Roman" w:eastAsia="Times New Roman" w:hAnsi="Times New Roman"/>
          <w:sz w:val="26"/>
          <w:szCs w:val="26"/>
        </w:rPr>
        <w:t xml:space="preserve">Trong đó, hàng hóa, dịch vụ tiêu dùng nội bộ là hàng hóa, dịch vụ do cơ sở kinh doanh xuất hoặc cung cấp sử dụng cho tiêu dùng, không bao gồm: 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spacing w:after="120" w:line="360"/>
      </w:pPr>
      <w:r>
        <w:rPr>
          <w:rFonts w:ascii="Times New Roman" w:cs="Times New Roman" w:eastAsia="Times New Roman" w:hAnsi="Times New Roman"/>
          <w:sz w:val="26"/>
          <w:szCs w:val="26"/>
        </w:rPr>
        <w:t xml:space="preserve">b) Hàng hóa, dịch vụ do cơ sở kinh doanh xuất hoặc cung cấp sử dụng phục vụ hoạt động sản xuất, kinh doanh (bao gồm cả tài sản cố định do cơ sở kinh doanh tự xây dựng, tự sản xuất).</w:t>
      </w:r>
    </w:p>
    <w:p>
      <w:pPr>
        <w:spacing w:after="120" w:line="360"/>
      </w:pPr>
      <w:r>
        <w:rPr>
          <w:rFonts w:ascii="Times New Roman" w:cs="Times New Roman" w:eastAsia="Times New Roman" w:hAnsi="Times New Roman"/>
          <w:sz w:val="26"/>
          <w:szCs w:val="26"/>
        </w:rPr>
        <w:t xml:space="preserve">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w:t>
      </w:r>
    </w:p>
    <w:p>
      <w:pPr>
        <w:spacing w:after="120" w:line="360"/>
      </w:pPr>
      <w:r>
        <w:rPr>
          <w:rFonts w:ascii="Times New Roman" w:cs="Times New Roman" w:eastAsia="Times New Roman" w:hAnsi="Times New Roman"/>
          <w:sz w:val="26"/>
          <w:szCs w:val="26"/>
        </w:rPr>
        <w:t xml:space="preserve">Cơ sở kinh doanh có tài sản điều chuyển phải có lệnh điều chuyển tài sản, kèm theo bộ hồ sơ nguồn gốc tài sản.</w:t>
      </w:r>
    </w:p>
    <w:p>
      <w:pPr>
        <w:spacing w:after="120" w:line="360"/>
      </w:pPr>
      <w:r>
        <w:rPr>
          <w:rFonts w:ascii="Times New Roman" w:cs="Times New Roman" w:eastAsia="Times New Roman" w:hAnsi="Times New Roman"/>
          <w:sz w:val="26"/>
          <w:szCs w:val="26"/>
        </w:rPr>
        <w:t xml:space="preserve">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pPr>
        <w:spacing w:after="120" w:line="360"/>
      </w:pPr>
      <w:r>
        <w:rPr>
          <w:rFonts w:ascii="Times New Roman" w:cs="Times New Roman" w:eastAsia="Times New Roman" w:hAnsi="Times New Roman"/>
          <w:sz w:val="26"/>
          <w:szCs w:val="26"/>
        </w:rPr>
        <w:t xml:space="preserve">Cơ sở kinh doanh có hàng hóa, dịch vụ quy định tại điểm a, b, c khoản này thì không phải tính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w:t>
      </w:r>
    </w:p>
    <w:p>
      <w:pPr>
        <w:spacing w:after="120" w:line="360"/>
      </w:pPr>
      <w:r>
        <w:rPr>
          <w:rFonts w:ascii="Times New Roman" w:cs="Times New Roman" w:eastAsia="Times New Roman" w:hAnsi="Times New Roman"/>
          <w:sz w:val="26"/>
          <w:szCs w:val="26"/>
        </w:rPr>
        <w:t xml:space="preserve">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 a) Đưa hàng mẫu, cung cấp dịch vụ mẫu để khách hàng dùng thử không phải trả tiền thì hàng mẫu, dịch vụ mẫu có giá tính thuế bằng không (0).</w:t>
      </w:r>
    </w:p>
    <w:p>
      <w:pPr>
        <w:spacing w:after="120" w:line="360"/>
      </w:pPr>
      <w:r>
        <w:rPr>
          <w:rFonts w:ascii="Times New Roman" w:cs="Times New Roman" w:eastAsia="Times New Roman" w:hAnsi="Times New Roman"/>
          <w:sz w:val="26"/>
          <w:szCs w:val="26"/>
        </w:rPr>
        <w:t xml:space="preserve">b) Tặng hàng hóa, cung cấp dịch vụ không thu tiền thì hàng hóa, dịch vụ tặng có giá tính thuế bằng không (0).</w:t>
      </w:r>
    </w:p>
    <w:p>
      <w:pPr>
        <w:spacing w:after="120" w:line="360"/>
      </w:pPr>
      <w:r>
        <w:rPr>
          <w:rFonts w:ascii="Times New Roman" w:cs="Times New Roman" w:eastAsia="Times New Roman" w:hAnsi="Times New Roman"/>
          <w:sz w:val="26"/>
          <w:szCs w:val="26"/>
        </w:rPr>
        <w:t xml:space="preserve">c) Bán hàng hóa, cung cấp dịch vụ có kèm theo phiếu mua hàng hóa, phiếu sử dụng dịch vụ thì giá tính thuế của hàng hóa, dịch vụ không bao gồm giá trị phiếu mua hàng hóa, phiếu sử dụng dịch vụ.</w:t>
      </w:r>
    </w:p>
    <w:p>
      <w:pPr>
        <w:spacing w:after="120" w:line="360"/>
      </w:pPr>
      <w:r>
        <w:rPr>
          <w:rFonts w:ascii="Times New Roman" w:cs="Times New Roman" w:eastAsia="Times New Roman" w:hAnsi="Times New Roman"/>
          <w:sz w:val="26"/>
          <w:szCs w:val="26"/>
        </w:rPr>
        <w:t xml:space="preserve">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pPr>
        <w:spacing w:after="120" w:line="360"/>
      </w:pPr>
      <w:r>
        <w:rPr>
          <w:rFonts w:ascii="Times New Roman" w:cs="Times New Roman" w:eastAsia="Times New Roman" w:hAnsi="Times New Roman"/>
          <w:sz w:val="26"/>
          <w:szCs w:val="26"/>
        </w:rPr>
        <w:t xml:space="preserve">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pPr>
        <w:spacing w:after="120" w:line="360"/>
      </w:pPr>
      <w:r>
        <w:rPr>
          <w:rFonts w:ascii="Times New Roman" w:cs="Times New Roman" w:eastAsia="Times New Roman" w:hAnsi="Times New Roman"/>
          <w:sz w:val="26"/>
          <w:szCs w:val="26"/>
        </w:rPr>
        <w:t xml:space="preserve">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pPr>
        <w:spacing w:after="120" w:line="360"/>
      </w:pPr>
      <w:r>
        <w:rPr>
          <w:rFonts w:ascii="Times New Roman" w:cs="Times New Roman" w:eastAsia="Times New Roman" w:hAnsi="Times New Roman"/>
          <w:sz w:val="26"/>
          <w:szCs w:val="26"/>
        </w:rPr>
        <w:t xml:space="preserve">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Giá tính thuế đối với hoạt động cho thuê tài sản, gia công hàng hóa và hoạt động xây dựng, lắp đặt 1.</w:t>
      </w:r>
    </w:p>
    <w:p>
      <w:pPr>
        <w:spacing w:after="120" w:line="360"/>
      </w:pPr>
      <w:r>
        <w:rPr>
          <w:rFonts w:ascii="Times New Roman" w:cs="Times New Roman" w:eastAsia="Times New Roman" w:hAnsi="Times New Roman"/>
          <w:sz w:val="26"/>
          <w:szCs w:val="26"/>
        </w:rPr>
        <w:t xml:space="preserve">Đối với hoạt động cho thuê tài sản là số tiền cho thuê chưa có thuế giá trị gia tăng.</w:t>
      </w:r>
    </w:p>
    <w:p>
      <w:pPr>
        <w:spacing w:after="120" w:line="360"/>
      </w:pPr>
      <w:r>
        <w:rPr>
          <w:rFonts w:ascii="Times New Roman" w:cs="Times New Roman" w:eastAsia="Times New Roman" w:hAnsi="Times New Roman"/>
          <w:sz w:val="26"/>
          <w:szCs w:val="26"/>
        </w:rPr>
        <w:t xml:space="preserve">Trong đó: a) Số tiền cho thuê tài sản là giá thuê được quy định trong hợp đồng cho thuê tài sản.</w:t>
      </w:r>
    </w:p>
    <w:p>
      <w:pPr>
        <w:spacing w:after="120" w:line="360"/>
      </w:pPr>
      <w:r>
        <w:rPr>
          <w:rFonts w:ascii="Times New Roman" w:cs="Times New Roman" w:eastAsia="Times New Roman" w:hAnsi="Times New Roman"/>
          <w:sz w:val="26"/>
          <w:szCs w:val="26"/>
        </w:rPr>
        <w:t xml:space="preserve">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gia công hàng hóa là giá gia công chưa có thuế giá trị gia tăng.</w:t>
      </w:r>
    </w:p>
    <w:p>
      <w:pPr>
        <w:spacing w:after="120" w:line="360"/>
      </w:pPr>
      <w:r>
        <w:rPr>
          <w:rFonts w:ascii="Times New Roman" w:cs="Times New Roman" w:eastAsia="Times New Roman" w:hAnsi="Times New Roman"/>
          <w:sz w:val="26"/>
          <w:szCs w:val="26"/>
        </w:rPr>
        <w:t xml:space="preserve">Giá gia công là giá gia công theo hợp đồng gia công chưa có thuế giá trị gia tăng, bao gồm cả tiền công, chi phí về nhiên liệu, vật liệu phụ và chi phí khác phục vụ cho việc gia công hàng hóa.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hoạt động xây dựng, lắp đặt là giá trị công trình, hạng mục công trình hay phần công việc thực hiện bàn giao bao gồm cả giá trị nguyên vật liệu, máy móc, thiết bị chưa có thuế giá trị gia tăng.</w:t>
      </w:r>
    </w:p>
    <w:p>
      <w:pPr>
        <w:spacing w:after="120" w:line="360"/>
      </w:pPr>
      <w:r>
        <w:rPr>
          <w:rFonts w:ascii="Times New Roman" w:cs="Times New Roman" w:eastAsia="Times New Roman" w:hAnsi="Times New Roman"/>
          <w:sz w:val="26"/>
          <w:szCs w:val="26"/>
        </w:rPr>
        <w:t xml:space="preserve">Trường hợp xây dựng, lắp đặt không bao thầu nguyên vật liệu, máy móc, thiết bị thì giá tính thuế là giá trị xây dựng, lắp đặt không bao gồm giá trị nguyên vật liệu và máy móc, thiết bị.</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Giá tính thuế đối với hoạt động kinh doanh bất động sản Đối với hoạt động kinh doanh bất động sản là giá bán bất động sản chưa có thuế giá trị gia tăng, trừ tiền sử dụng đất hoặc tiền thuê đất nộp ngân sách nhà nước (giá đất được trừ).</w:t>
      </w:r>
    </w:p>
    <w:p>
      <w:pPr>
        <w:spacing w:after="120" w:line="360"/>
      </w:pPr>
      <w:r>
        <w:rPr>
          <w:rFonts w:ascii="Times New Roman" w:cs="Times New Roman" w:eastAsia="Times New Roman" w:hAnsi="Times New Roman"/>
          <w:sz w:val="26"/>
          <w:szCs w:val="26"/>
        </w:rPr>
        <w:t xml:space="preserve">Giá đất được trừ để tính thuế giá trị gia tăng được xác định trong một số trường hợp như sau: 1.</w:t>
      </w:r>
    </w:p>
    <w:p>
      <w:pPr>
        <w:spacing w:after="120" w:line="360"/>
      </w:pPr>
      <w:r>
        <w:rPr>
          <w:rFonts w:ascii="Times New Roman" w:cs="Times New Roman" w:eastAsia="Times New Roman" w:hAnsi="Times New Roman"/>
          <w:sz w:val="26"/>
          <w:szCs w:val="26"/>
        </w:rPr>
        <w:t xml:space="preserve">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w:t>
      </w:r>
    </w:p>
    <w:p>
      <w:pPr>
        <w:spacing w:after="120" w:line="360"/>
      </w:pPr>
      <w:r>
        <w:rPr>
          <w:rFonts w:ascii="Times New Roman" w:cs="Times New Roman" w:eastAsia="Times New Roman" w:hAnsi="Times New Roman"/>
          <w:sz w:val="26"/>
          <w:szCs w:val="26"/>
        </w:rPr>
        <w:t xml:space="preserve">Cơ sở kinh doanh được khấu trừ thuế giá trị gia tăng đầu vào của cơ sở hạ tầng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Giá tính thuế đối với hoạt động đại lý, môi giới mua bán hàng hóa, dịch vụ hưởng hoa hồng và hàng hóa, dịch vụ được sử dụng hóa đơn thanh toán ghi giá thanh toán 1.</w:t>
      </w:r>
    </w:p>
    <w:p>
      <w:pPr>
        <w:spacing w:after="120" w:line="360"/>
      </w:pPr>
      <w:r>
        <w:rPr>
          <w:rFonts w:ascii="Times New Roman" w:cs="Times New Roman" w:eastAsia="Times New Roman" w:hAnsi="Times New Roman"/>
          <w:sz w:val="26"/>
          <w:szCs w:val="26"/>
        </w:rPr>
        <w:t xml:space="preserve">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 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pPr>
        <w:spacing w:after="120" w:line="360"/>
      </w:pPr>
      <w:r>
        <w:rPr>
          <w:rFonts w:ascii="Times New Roman" w:cs="Times New Roman" w:eastAsia="Times New Roman" w:hAnsi="Times New Roman"/>
          <w:sz w:val="26"/>
          <w:szCs w:val="26"/>
        </w:rPr>
        <w:t xml:space="preserve">b) Doanh thu hàng hóa, dịch vụ và doanh thu hoa hồng đại lý được hưởng từ hoạt động đại lý bán hàng hóa, dịch vụ thuộc diện không chịu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hàng hóa, dịch vụ được sử dụng hóa đơn thanh toán ghi giá thanh toán là giá đã có thuế giá trị gia tăng thì giá tính thuế được xác định theo công thức sau: Giá chưa có thuế giá trị gia tăng = Giá thanh toán 1 + thuế suất của hàng hóa, dịch vụ (%) Điều 10.</w:t>
      </w:r>
    </w:p>
    <w:p>
      <w:pPr>
        <w:spacing w:after="120" w:line="360"/>
      </w:pPr>
      <w:r>
        <w:rPr>
          <w:rFonts w:ascii="Times New Roman" w:cs="Times New Roman" w:eastAsia="Times New Roman" w:hAnsi="Times New Roman"/>
          <w:sz w:val="26"/>
          <w:szCs w:val="26"/>
        </w:rPr>
        <w:t xml:space="preserve">Giá tính thuế đối với dịch vụ kinh doanh ca-si-nô, trò chơi điện tử có thưởng và dịch vụ kinh doanh đặt cược 1.</w:t>
      </w:r>
    </w:p>
    <w:p>
      <w:pPr>
        <w:spacing w:after="120" w:line="360"/>
      </w:pPr>
      <w:r>
        <w:rPr>
          <w:rFonts w:ascii="Times New Roman" w:cs="Times New Roman" w:eastAsia="Times New Roman" w:hAnsi="Times New Roman"/>
          <w:sz w:val="26"/>
          <w:szCs w:val="26"/>
        </w:rPr>
        <w:t xml:space="preserve">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w:t>
      </w:r>
    </w:p>
    <w:p>
      <w:pPr>
        <w:spacing w:after="120" w:line="360"/>
      </w:pPr>
      <w:r>
        <w:rPr>
          <w:rFonts w:ascii="Times New Roman" w:cs="Times New Roman" w:eastAsia="Times New Roman" w:hAnsi="Times New Roman"/>
          <w:sz w:val="26"/>
          <w:szCs w:val="26"/>
        </w:rPr>
        <w:t xml:space="preserve">Trong đó, số tiền thu được là số tiền thu từ đổi đồng tiền quy ước cho người chơi tại quầy, tại bàn chơi và số tiền thu tại máy trò chơi điện tử có thưởng.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dịch vụ kinh doanh đặt cược là số tiền thu được từ bán vé đặt cược trừ số tiền đã trả thưởng cho khách (nếu có), đã có thuế tiêu thụ đặc biệt, chưa có thuế giá trị gia tăng.</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Giá tính thuế đối với một số hoạt động sản xuất, kinh doanh khác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w:t>
      </w:r>
    </w:p>
    <w:p>
      <w:pPr>
        <w:spacing w:after="120" w:line="360"/>
      </w:pPr>
      <w:r>
        <w:rPr>
          <w:rFonts w:ascii="Times New Roman" w:cs="Times New Roman" w:eastAsia="Times New Roman" w:hAnsi="Times New Roman"/>
          <w:sz w:val="26"/>
          <w:szCs w:val="26"/>
        </w:rPr>
        <w:t xml:space="preserve">Trong đó: 1.</w:t>
      </w:r>
    </w:p>
    <w:p>
      <w:pPr>
        <w:spacing w:after="120" w:line="360"/>
      </w:pPr>
      <w:r>
        <w:rPr>
          <w:rFonts w:ascii="Times New Roman" w:cs="Times New Roman" w:eastAsia="Times New Roman" w:hAnsi="Times New Roman"/>
          <w:sz w:val="26"/>
          <w:szCs w:val="26"/>
        </w:rPr>
        <w:t xml:space="preserve">Đối với hoạt động sản xuất điện của Tập đoàn Điện lực Việt Nam: 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spacing w:after="120" w:line="360"/>
      </w:pPr>
      <w:r>
        <w:rPr>
          <w:rFonts w:ascii="Times New Roman" w:cs="Times New Roman" w:eastAsia="Times New Roman" w:hAnsi="Times New Roman"/>
          <w:sz w:val="26"/>
          <w:szCs w:val="26"/>
        </w:rPr>
        <w:t xml:space="preserve">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w:t>
      </w:r>
    </w:p>
    <w:p>
      <w:pPr>
        <w:spacing w:after="120" w:line="360"/>
      </w:pPr>
      <w:r>
        <w:rPr>
          <w:rFonts w:ascii="Times New Roman" w:cs="Times New Roman" w:eastAsia="Times New Roman" w:hAnsi="Times New Roman"/>
          <w:sz w:val="26"/>
          <w:szCs w:val="26"/>
        </w:rPr>
        <w:t xml:space="preserve">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spacing w:after="120" w:line="360"/>
      </w:pPr>
      <w:r>
        <w:rPr>
          <w:rFonts w:ascii="Times New Roman" w:cs="Times New Roman" w:eastAsia="Times New Roman" w:hAnsi="Times New Roman"/>
          <w:sz w:val="26"/>
          <w:szCs w:val="26"/>
        </w:rPr>
        <w:t xml:space="preserve">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w:t>
      </w:r>
    </w:p>
    <w:p>
      <w:pPr>
        <w:spacing w:after="120" w:line="360"/>
      </w:pPr>
      <w:r>
        <w:rPr>
          <w:rFonts w:ascii="Times New Roman" w:cs="Times New Roman" w:eastAsia="Times New Roman" w:hAnsi="Times New Roman"/>
          <w:sz w:val="26"/>
          <w:szCs w:val="26"/>
        </w:rPr>
        <w:t xml:space="preserve">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vận tải, bốc xếp là giá cước vận tải, bốc xếp chưa có thuế giá trị gia tăng, không phân biệt cơ sở trực tiếp vận tải, bốc xếp hay thuê lại.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dịch vụ du lịch theo hình thức lữ hành, hợp đồng ký với khách hàng theo giá trọn gói (ăn, ở, đi lại) thì giá trọn gói được xác định là giá đã có thuế giá trị gia tăng.</w:t>
      </w:r>
    </w:p>
    <w:p>
      <w:pPr>
        <w:spacing w:after="120" w:line="360"/>
      </w:pPr>
      <w:r>
        <w:rPr>
          <w:rFonts w:ascii="Times New Roman" w:cs="Times New Roman" w:eastAsia="Times New Roman" w:hAnsi="Times New Roman"/>
          <w:sz w:val="26"/>
          <w:szCs w:val="26"/>
        </w:rPr>
        <w:t xml:space="preserve">Giá tính thuế được xác định theo công thức sau: Giá tính thuế = Giá trọn gói 1 + thuế suất 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w:t>
      </w:r>
    </w:p>
    <w:p>
      <w:pPr>
        <w:spacing w:after="120" w:line="360"/>
      </w:pPr>
      <w:r>
        <w:rPr>
          <w:rFonts w:ascii="Times New Roman" w:cs="Times New Roman" w:eastAsia="Times New Roman" w:hAnsi="Times New Roman"/>
          <w:sz w:val="26"/>
          <w:szCs w:val="26"/>
        </w:rPr>
        <w:t xml:space="preserve">Thuế giá trị gia tăng đầu vào phục vụ hoạt động du lịch trọn gói được khấu trừ toàn bộ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w:t>
      </w:r>
    </w:p>
    <w:p>
      <w:pPr>
        <w:spacing w:after="120" w:line="360"/>
      </w:pPr>
      <w:r>
        <w:rPr>
          <w:rFonts w:ascii="Times New Roman" w:cs="Times New Roman" w:eastAsia="Times New Roman" w:hAnsi="Times New Roman"/>
          <w:sz w:val="26"/>
          <w:szCs w:val="26"/>
        </w:rPr>
        <w:t xml:space="preserve">Trường hợp số tiền thu từ dịch vụ này đã bao gồm thuế giá trị gia tăng thì giá tính thuế được xác định theo công thức sau: Giá tính thuế = Số tiền phải thu 1 + thuế suất 5.</w:t>
      </w:r>
    </w:p>
    <w:p>
      <w:pPr>
        <w:spacing w:after="120" w:line="360"/>
      </w:pPr>
      <w:r>
        <w:rPr>
          <w:rFonts w:ascii="Times New Roman" w:cs="Times New Roman" w:eastAsia="Times New Roman" w:hAnsi="Times New Roman"/>
          <w:sz w:val="26"/>
          <w:szCs w:val="26"/>
        </w:rPr>
        <w:t xml:space="preserve">Đối với sách chịu thuế giá trị gia tăng bán theo đúng giá phát hành (giá bìa) theo quy định của Luật Xuất bản thì giá bán đó được xác định là giá đã có thuế giá trị gia tăng.</w:t>
      </w:r>
    </w:p>
    <w:p>
      <w:pPr>
        <w:spacing w:after="120" w:line="360"/>
      </w:pPr>
      <w:r>
        <w:rPr>
          <w:rFonts w:ascii="Times New Roman" w:cs="Times New Roman" w:eastAsia="Times New Roman" w:hAnsi="Times New Roman"/>
          <w:sz w:val="26"/>
          <w:szCs w:val="26"/>
        </w:rPr>
        <w:t xml:space="preserve">Các trường hợp bán không theo giá bìa thì thuế giá trị gia tăng tính trên giá bán ra chưa có thuế giá trị gia tăng.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Đối với hoạt động in, giá tính thuế là tiền công in chưa có thuế giá trị gia tăng.</w:t>
      </w:r>
    </w:p>
    <w:p>
      <w:pPr>
        <w:spacing w:after="120" w:line="360"/>
      </w:pPr>
      <w:r>
        <w:rPr>
          <w:rFonts w:ascii="Times New Roman" w:cs="Times New Roman" w:eastAsia="Times New Roman" w:hAnsi="Times New Roman"/>
          <w:sz w:val="26"/>
          <w:szCs w:val="26"/>
        </w:rPr>
        <w:t xml:space="preserve">Trường hợp cơ sở in thực hiện các hợp đồng in, giá thanh toán bao gồm cả tiền công in và tiền giấy in thì giá tính thuế bao gồm cả tiền công in và giấy in chưa có thuế giá trị gia tăng.</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Giá tính thuế đối với dịch vụ viễn thông quốc tế 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w:t>
      </w:r>
    </w:p>
    <w:p>
      <w:pPr>
        <w:spacing w:after="120" w:line="360"/>
      </w:pPr>
      <w:r>
        <w:rPr>
          <w:rFonts w:ascii="Times New Roman" w:cs="Times New Roman" w:eastAsia="Times New Roman" w:hAnsi="Times New Roman"/>
          <w:sz w:val="26"/>
          <w:szCs w:val="26"/>
        </w:rPr>
        <w:t xml:space="preserve">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Giá tính thuế đối với dịch vụ do tổ chức nước ngoài, cá nhân ở nước ngoài cung cấp 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w:t>
      </w:r>
    </w:p>
    <w:p>
      <w:pPr>
        <w:spacing w:after="120" w:line="360"/>
      </w:pPr>
      <w:r>
        <w:rPr>
          <w:rFonts w:ascii="Times New Roman" w:cs="Times New Roman" w:eastAsia="Times New Roman" w:hAnsi="Times New Roman"/>
          <w:sz w:val="26"/>
          <w:szCs w:val="26"/>
        </w:rPr>
        <w:t xml:space="preserve">Bộ Tài chính quy định chi tiết Điều này.</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Nguyên tắc xác định giá tính thuế giá trị gia tăng 1.</w:t>
      </w:r>
    </w:p>
    <w:p>
      <w:pPr>
        <w:spacing w:after="120" w:line="360"/>
      </w:pPr>
      <w:r>
        <w:rPr>
          <w:rFonts w:ascii="Times New Roman" w:cs="Times New Roman" w:eastAsia="Times New Roman" w:hAnsi="Times New Roman"/>
          <w:sz w:val="26"/>
          <w:szCs w:val="26"/>
        </w:rPr>
        <w:t xml:space="preserve">Giá tính thuế đối với các loại hàng hóa, dịch vụ quy định tại Mục này: a) Bao gồm cả khoản phụ thu và phí thu thêm ngoài giá hàng hóa, dịch vụ mà cơ sở kinh doanh được hưởng.</w:t>
      </w:r>
    </w:p>
    <w:p>
      <w:pPr>
        <w:spacing w:after="120" w:line="360"/>
      </w:pPr>
      <w:r>
        <w:rPr>
          <w:rFonts w:ascii="Times New Roman" w:cs="Times New Roman" w:eastAsia="Times New Roman" w:hAnsi="Times New Roman"/>
          <w:sz w:val="26"/>
          <w:szCs w:val="26"/>
        </w:rPr>
        <w:t xml:space="preserve">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pPr>
        <w:spacing w:after="120" w:line="360"/>
      </w:pPr>
      <w:r>
        <w:rPr>
          <w:rFonts w:ascii="Times New Roman" w:cs="Times New Roman" w:eastAsia="Times New Roman" w:hAnsi="Times New Roman"/>
          <w:sz w:val="26"/>
          <w:szCs w:val="26"/>
        </w:rPr>
        <w:t xml:space="preserve">Mục 2.</w:t>
      </w:r>
    </w:p>
    <w:p>
      <w:pPr>
        <w:spacing w:after="120" w:line="360"/>
      </w:pPr>
      <w:r>
        <w:rPr>
          <w:rFonts w:ascii="Times New Roman" w:cs="Times New Roman" w:eastAsia="Times New Roman" w:hAnsi="Times New Roman"/>
          <w:sz w:val="26"/>
          <w:szCs w:val="26"/>
        </w:rPr>
        <w:t xml:space="preserve">THỜI ĐIỂM XÁC ĐỊNH THUẾ GIÁ TRỊ GIA TĂNG Điều 15.</w:t>
      </w:r>
    </w:p>
    <w:p>
      <w:pPr>
        <w:spacing w:after="120" w:line="360"/>
      </w:pPr>
      <w:r>
        <w:rPr>
          <w:rFonts w:ascii="Times New Roman" w:cs="Times New Roman" w:eastAsia="Times New Roman" w:hAnsi="Times New Roman"/>
          <w:sz w:val="26"/>
          <w:szCs w:val="26"/>
        </w:rPr>
        <w:t xml:space="preserve">Thời điểm xác định thuế giá trị gia tăng đối với hàng hóa xuất khẩu, hàng hóa nhập khẩu 1.</w:t>
      </w:r>
    </w:p>
    <w:p>
      <w:pPr>
        <w:spacing w:after="120" w:line="360"/>
      </w:pPr>
      <w:r>
        <w:rPr>
          <w:rFonts w:ascii="Times New Roman" w:cs="Times New Roman" w:eastAsia="Times New Roman" w:hAnsi="Times New Roman"/>
          <w:sz w:val="26"/>
          <w:szCs w:val="26"/>
        </w:rPr>
        <w:t xml:space="preserve">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hàng hóa nhập khẩu, thời điểm xác định thuế giá trị gia tăng là thời điểm xác định thuế nhập khẩu theo quy định của pháp luật về thuế xuất khẩu, thuế nhập khẩu.</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Thời điểm xác định thuế giá trị gia tăng đối với một số hàng hóa, dịch vụ khác 1.</w:t>
      </w:r>
    </w:p>
    <w:p>
      <w:pPr>
        <w:spacing w:after="120" w:line="360"/>
      </w:pPr>
      <w:r>
        <w:rPr>
          <w:rFonts w:ascii="Times New Roman" w:cs="Times New Roman" w:eastAsia="Times New Roman" w:hAnsi="Times New Roman"/>
          <w:sz w:val="26"/>
          <w:szCs w:val="26"/>
        </w:rPr>
        <w:t xml:space="preserve">Đối với dịch vụ viễn thông (bao gồm cả dịch vụ viễn thông giá trị gia tăng): 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pPr>
        <w:spacing w:after="120" w:line="360"/>
      </w:pPr>
      <w:r>
        <w:rPr>
          <w:rFonts w:ascii="Times New Roman" w:cs="Times New Roman" w:eastAsia="Times New Roman" w:hAnsi="Times New Roman"/>
          <w:sz w:val="26"/>
          <w:szCs w:val="26"/>
        </w:rPr>
        <w:t xml:space="preserve">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w:t>
      </w:r>
    </w:p>
    <w:p>
      <w:pPr>
        <w:spacing w:after="120" w:line="360"/>
      </w:pPr>
      <w:r>
        <w:rPr>
          <w:rFonts w:ascii="Times New Roman" w:cs="Times New Roman" w:eastAsia="Times New Roman" w:hAnsi="Times New Roman"/>
          <w:sz w:val="26"/>
          <w:szCs w:val="26"/>
        </w:rPr>
        <w:t xml:space="preserve">Kỳ quy ước để làm căn cứ tính lượng dịch vụ cung cấp căn cứ thỏa thuận giữa đơn vị cung cấp dịch vụ với người mua.</w:t>
      </w:r>
    </w:p>
    <w:p>
      <w:pPr>
        <w:spacing w:after="120" w:line="360"/>
      </w:pPr>
      <w:r>
        <w:rPr>
          <w:rFonts w:ascii="Times New Roman" w:cs="Times New Roman" w:eastAsia="Times New Roman" w:hAnsi="Times New Roman"/>
          <w:sz w:val="26"/>
          <w:szCs w:val="26"/>
        </w:rPr>
        <w:t xml:space="preserve">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hoạt động bán điện: 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w:t>
      </w:r>
    </w:p>
    <w:p>
      <w:pPr>
        <w:spacing w:after="120" w:line="360"/>
      </w:pPr>
      <w:r>
        <w:rPr>
          <w:rFonts w:ascii="Times New Roman" w:cs="Times New Roman" w:eastAsia="Times New Roman" w:hAnsi="Times New Roman"/>
          <w:sz w:val="26"/>
          <w:szCs w:val="26"/>
        </w:rPr>
        <w:t xml:space="preserve">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pPr>
        <w:spacing w:after="120" w:line="360"/>
      </w:pPr>
      <w:r>
        <w:rPr>
          <w:rFonts w:ascii="Times New Roman" w:cs="Times New Roman" w:eastAsia="Times New Roman" w:hAnsi="Times New Roman"/>
          <w:sz w:val="26"/>
          <w:szCs w:val="26"/>
        </w:rPr>
        <w:t xml:space="preserve">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w:t>
      </w:r>
    </w:p>
    <w:p>
      <w:pPr>
        <w:spacing w:after="120" w:line="360"/>
      </w:pPr>
      <w:r>
        <w:rPr>
          <w:rFonts w:ascii="Times New Roman" w:cs="Times New Roman" w:eastAsia="Times New Roman" w:hAnsi="Times New Roman"/>
          <w:sz w:val="26"/>
          <w:szCs w:val="26"/>
        </w:rPr>
        <w:t xml:space="preserve">Kỳ quy ước để làm căn cứ tính lượng điện cung cấp căn cứ thỏa thuận giữa đơn vị cung cấp điện với người mua.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w:t>
      </w:r>
    </w:p>
    <w:p>
      <w:pPr>
        <w:spacing w:after="120" w:line="360"/>
      </w:pPr>
      <w:r>
        <w:rPr>
          <w:rFonts w:ascii="Times New Roman" w:cs="Times New Roman" w:eastAsia="Times New Roman" w:hAnsi="Times New Roman"/>
          <w:sz w:val="26"/>
          <w:szCs w:val="26"/>
        </w:rPr>
        <w:t xml:space="preserve">Kỳ quy ước để làm căn cứ tính lượng nước cung cấp căn cứ thỏa thuận giữa đơn vị cung cấp nước với người mua.</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hoạt động kinh doanh bảo hiểm, thời điểm xác định thuế giá trị gia tăng là thời điểm ghi nhận doanh thu bảo hiểm theo quy định của pháp luật về kinh doanh bảo hiểm.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hoạt động kinh doanh bất động sản, xây dựng cơ sở hạ tầng, xây dựng nhà để bán, chuyển nhượng hoặc cho thuê: 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pPr>
        <w:spacing w:after="120" w:line="360"/>
      </w:pPr>
      <w:r>
        <w:rPr>
          <w:rFonts w:ascii="Times New Roman" w:cs="Times New Roman" w:eastAsia="Times New Roman" w:hAnsi="Times New Roman"/>
          <w:sz w:val="26"/>
          <w:szCs w:val="26"/>
        </w:rPr>
        <w:t xml:space="preserve">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Đối với hoạt động dầu khí: 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spacing w:after="120" w:line="360"/>
      </w:pPr>
      <w:r>
        <w:rPr>
          <w:rFonts w:ascii="Times New Roman" w:cs="Times New Roman" w:eastAsia="Times New Roman" w:hAnsi="Times New Roman"/>
          <w:sz w:val="26"/>
          <w:szCs w:val="26"/>
        </w:rPr>
        <w:t xml:space="preserve">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pPr>
        <w:spacing w:after="120" w:line="360"/>
      </w:pPr>
      <w:r>
        <w:rPr>
          <w:rFonts w:ascii="Times New Roman" w:cs="Times New Roman" w:eastAsia="Times New Roman" w:hAnsi="Times New Roman"/>
          <w:sz w:val="26"/>
          <w:szCs w:val="26"/>
        </w:rPr>
        <w:t xml:space="preserve">Mục 3.</w:t>
      </w:r>
    </w:p>
    <w:p>
      <w:pPr>
        <w:spacing w:after="120" w:line="360"/>
      </w:pPr>
      <w:r>
        <w:rPr>
          <w:rFonts w:ascii="Times New Roman" w:cs="Times New Roman" w:eastAsia="Times New Roman" w:hAnsi="Times New Roman"/>
          <w:sz w:val="26"/>
          <w:szCs w:val="26"/>
        </w:rPr>
        <w:t xml:space="preserve">THUẾ SUẤT Điều 17.</w:t>
      </w:r>
    </w:p>
    <w:p>
      <w:pPr>
        <w:spacing w:after="120" w:line="360"/>
      </w:pPr>
      <w:r>
        <w:rPr>
          <w:rFonts w:ascii="Times New Roman" w:cs="Times New Roman" w:eastAsia="Times New Roman" w:hAnsi="Times New Roman"/>
          <w:sz w:val="26"/>
          <w:szCs w:val="26"/>
        </w:rPr>
        <w:t xml:space="preserve">Mức thuế suất 0% Mức thuế suất 0% áp dụng đối với hàng hóa, dịch vụ quy định tại khoản 1 Điều 9 Luật Thuế giá trị gia tăng.</w:t>
      </w:r>
    </w:p>
    <w:p>
      <w:pPr>
        <w:spacing w:after="120" w:line="360"/>
      </w:pPr>
      <w:r>
        <w:rPr>
          <w:rFonts w:ascii="Times New Roman" w:cs="Times New Roman" w:eastAsia="Times New Roman" w:hAnsi="Times New Roman"/>
          <w:sz w:val="26"/>
          <w:szCs w:val="26"/>
        </w:rPr>
        <w:t xml:space="preserve">Trong đó: 1.</w:t>
      </w:r>
    </w:p>
    <w:p>
      <w:pPr>
        <w:spacing w:after="120" w:line="360"/>
      </w:pPr>
      <w:r>
        <w:rPr>
          <w:rFonts w:ascii="Times New Roman" w:cs="Times New Roman" w:eastAsia="Times New Roman" w:hAnsi="Times New Roman"/>
          <w:sz w:val="26"/>
          <w:szCs w:val="26"/>
        </w:rPr>
        <w:t xml:space="preserve">Hàng hóa xuất khẩu bao gồm: a) Hàng hóa từ Việt Nam bán cho tổ chức, cá nhân ở nước ngoài và được tiêu dùng ở ngoài Việt Nam.</w:t>
      </w:r>
    </w:p>
    <w:p>
      <w:pPr>
        <w:spacing w:after="120" w:line="360"/>
      </w:pPr>
      <w:r>
        <w:rPr>
          <w:rFonts w:ascii="Times New Roman" w:cs="Times New Roman" w:eastAsia="Times New Roman" w:hAnsi="Times New Roman"/>
          <w:sz w:val="26"/>
          <w:szCs w:val="26"/>
        </w:rPr>
        <w:t xml:space="preserve">b) Hàng hóa từ nội địa Việt Nam bán cho tổ chức trong khu phi thuế quan và được tiêu dùng trong khu phi thuế quan phục vụ trực tiếp cho hoạt động sản xuất xuất khẩu.</w:t>
      </w:r>
    </w:p>
    <w:p>
      <w:pPr>
        <w:spacing w:after="120" w:line="360"/>
      </w:pPr>
      <w:r>
        <w:rPr>
          <w:rFonts w:ascii="Times New Roman" w:cs="Times New Roman" w:eastAsia="Times New Roman" w:hAnsi="Times New Roman"/>
          <w:sz w:val="26"/>
          <w:szCs w:val="26"/>
        </w:rPr>
        <w:t xml:space="preserve">c) Hàng hóa đã bán tại khu vực cách ly cho cá nhân (người nước ngoài hoặc người Việt Nam) đã làm thủ tục xuất cảnh; hàng hóa đã bán tại cửa hàng miễn thuế.</w:t>
      </w:r>
    </w:p>
    <w:p>
      <w:pPr>
        <w:spacing w:after="120" w:line="360"/>
      </w:pPr>
      <w:r>
        <w:rPr>
          <w:rFonts w:ascii="Times New Roman" w:cs="Times New Roman" w:eastAsia="Times New Roman" w:hAnsi="Times New Roman"/>
          <w:sz w:val="26"/>
          <w:szCs w:val="26"/>
        </w:rPr>
        <w:t xml:space="preserve">Khu vực cách ly, cửa hàng miễn thuế xác định theo quy định tại Nghị định số 68/2016/NĐ-CP ngày 01 tháng 7 năm 2016 của Chính phủ quy định về điều kiện kinh doanh hàng miễn thuế, kho bãi, địa điểm làm thủ tục hải quan, tập kết, kiểm tra, giám sát hải quan (đã được sửa đổi, bổ sung bởi Nghị định số 67/2020/NĐ-CP ngày 15 tháng 6 năm 2020 của Chính phủ).</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Dịch vụ xuất khẩu bao gồm: a) Dịch vụ cung cấp trực tiếp cho tổ chức, cá nhân ở nước ngoài và được tiêu dùng ở ngoài Việt Nam.</w:t>
      </w:r>
    </w:p>
    <w:p>
      <w:pPr>
        <w:spacing w:after="120" w:line="360"/>
      </w:pPr>
      <w:r>
        <w:rPr>
          <w:rFonts w:ascii="Times New Roman" w:cs="Times New Roman" w:eastAsia="Times New Roman" w:hAnsi="Times New Roman"/>
          <w:sz w:val="26"/>
          <w:szCs w:val="26"/>
        </w:rPr>
        <w:t xml:space="preserve">Trong đó, cá nhân ở nước ngoài đáp ứng điều kiện ở ngoài Việt Nam trong thời gian diễn ra việc cung cấp dịch vụ.</w:t>
      </w:r>
    </w:p>
    <w:p>
      <w:pPr>
        <w:spacing w:after="120" w:line="360"/>
      </w:pPr>
      <w:r>
        <w:rPr>
          <w:rFonts w:ascii="Times New Roman" w:cs="Times New Roman" w:eastAsia="Times New Roman" w:hAnsi="Times New Roman"/>
          <w:sz w:val="26"/>
          <w:szCs w:val="26"/>
        </w:rPr>
        <w:t xml:space="preserve">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w:t>
      </w:r>
    </w:p>
    <w:p>
      <w:pPr>
        <w:spacing w:after="120" w:line="360"/>
      </w:pPr>
      <w:r>
        <w:rPr>
          <w:rFonts w:ascii="Times New Roman" w:cs="Times New Roman" w:eastAsia="Times New Roman" w:hAnsi="Times New Roman"/>
          <w:sz w:val="26"/>
          <w:szCs w:val="26"/>
        </w:rPr>
        <w:t xml:space="preserve">Tổ chức trong khu phi thuế quan là tổ chức có đăng ký kinh doanh.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w:t>
      </w:r>
    </w:p>
    <w:p>
      <w:pPr>
        <w:spacing w:after="120" w:line="360"/>
      </w:pPr>
      <w:r>
        <w:rPr>
          <w:rFonts w:ascii="Times New Roman" w:cs="Times New Roman" w:eastAsia="Times New Roman" w:hAnsi="Times New Roman"/>
          <w:sz w:val="26"/>
          <w:szCs w:val="26"/>
        </w:rPr>
        <w:t xml:space="preserve">Trong đó: 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w:t>
      </w:r>
    </w:p>
    <w:p>
      <w:pPr>
        <w:spacing w:after="120" w:line="360"/>
      </w:pPr>
      <w:r>
        <w:rPr>
          <w:rFonts w:ascii="Times New Roman" w:cs="Times New Roman" w:eastAsia="Times New Roman" w:hAnsi="Times New Roman"/>
          <w:sz w:val="26"/>
          <w:szCs w:val="26"/>
        </w:rPr>
        <w:t xml:space="preserve">Trường hợp, hợp đồng vận tải quốc tế bao gồm cả chặng vận tải nội địa thì vận tải quốc tế bao gồm cả chặng nội địa.</w:t>
      </w:r>
    </w:p>
    <w:p>
      <w:pPr>
        <w:spacing w:after="120" w:line="360"/>
      </w:pPr>
      <w:r>
        <w:rPr>
          <w:rFonts w:ascii="Times New Roman" w:cs="Times New Roman" w:eastAsia="Times New Roman" w:hAnsi="Times New Roman"/>
          <w:sz w:val="26"/>
          <w:szCs w:val="26"/>
        </w:rPr>
        <w:t xml:space="preserve">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w:t>
      </w:r>
    </w:p>
    <w:p>
      <w:pPr>
        <w:spacing w:after="120" w:line="360"/>
      </w:pPr>
      <w:r>
        <w:rPr>
          <w:rFonts w:ascii="Times New Roman" w:cs="Times New Roman" w:eastAsia="Times New Roman" w:hAnsi="Times New Roman"/>
          <w:sz w:val="26"/>
          <w:szCs w:val="26"/>
        </w:rPr>
        <w:t xml:space="preserve">Dịch vụ của ngành hàng không áp dụng thuế suất 0% là những dịch vụ được thực hiện trong khu vực cảng hàng không quốc tế, sân bay, nhà ga hàng hóa hàng không quốc tế.</w:t>
      </w:r>
    </w:p>
    <w:p>
      <w:pPr>
        <w:spacing w:after="120" w:line="360"/>
      </w:pPr>
      <w:r>
        <w:rPr>
          <w:rFonts w:ascii="Times New Roman" w:cs="Times New Roman" w:eastAsia="Times New Roman" w:hAnsi="Times New Roman"/>
          <w:sz w:val="26"/>
          <w:szCs w:val="26"/>
        </w:rPr>
        <w:t xml:space="preserve">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w:t>
      </w:r>
    </w:p>
    <w:p>
      <w:pPr>
        <w:spacing w:after="120" w:line="360"/>
      </w:pPr>
      <w:r>
        <w:rPr>
          <w:rFonts w:ascii="Times New Roman" w:cs="Times New Roman" w:eastAsia="Times New Roman" w:hAnsi="Times New Roman"/>
          <w:sz w:val="26"/>
          <w:szCs w:val="26"/>
        </w:rPr>
        <w:t xml:space="preserve">Dịch vụ của ngành hàng hải áp dụng thuế suất 0% là những dịch vụ được thực hiện tại khu vực cảng.</w:t>
      </w:r>
    </w:p>
    <w:p>
      <w:pPr>
        <w:spacing w:after="120" w:line="360"/>
      </w:pPr>
      <w:r>
        <w:rPr>
          <w:rFonts w:ascii="Times New Roman" w:cs="Times New Roman" w:eastAsia="Times New Roman" w:hAnsi="Times New Roman"/>
          <w:sz w:val="26"/>
          <w:szCs w:val="26"/>
        </w:rPr>
        <w:t xml:space="preserve">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w:t>
      </w:r>
    </w:p>
    <w:p>
      <w:pPr>
        <w:spacing w:after="120" w:line="360"/>
      </w:pPr>
      <w:r>
        <w:rPr>
          <w:rFonts w:ascii="Times New Roman" w:cs="Times New Roman" w:eastAsia="Times New Roman" w:hAnsi="Times New Roman"/>
          <w:sz w:val="26"/>
          <w:szCs w:val="26"/>
        </w:rPr>
        <w:t xml:space="preserve">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trường hợp không áp dụng thuế suất 0% quy định tại điểm b và d khoản 1 Điều 9 Luật Thuế giá trị gia tăng bao gồm: a) Chuyển giao công nghệ, chuyển nhượng quyền sở hữu trí tuệ ra nước ngoài.</w:t>
      </w:r>
    </w:p>
    <w:p>
      <w:pPr>
        <w:spacing w:after="120" w:line="360"/>
      </w:pPr>
      <w:r>
        <w:rPr>
          <w:rFonts w:ascii="Times New Roman" w:cs="Times New Roman" w:eastAsia="Times New Roman" w:hAnsi="Times New Roman"/>
          <w:sz w:val="26"/>
          <w:szCs w:val="26"/>
        </w:rPr>
        <w:t xml:space="preserve">b) Dịch vụ tái bảo hiểm ra nước ngoài.</w:t>
      </w:r>
    </w:p>
    <w:p>
      <w:pPr>
        <w:spacing w:after="120" w:line="360"/>
      </w:pPr>
      <w:r>
        <w:rPr>
          <w:rFonts w:ascii="Times New Roman" w:cs="Times New Roman" w:eastAsia="Times New Roman" w:hAnsi="Times New Roman"/>
          <w:sz w:val="26"/>
          <w:szCs w:val="26"/>
        </w:rPr>
        <w:t xml:space="preserve">c) Dịch vụ cấp tín dụng.</w:t>
      </w:r>
    </w:p>
    <w:p>
      <w:pPr>
        <w:spacing w:after="120" w:line="360"/>
      </w:pPr>
      <w:r>
        <w:rPr>
          <w:rFonts w:ascii="Times New Roman" w:cs="Times New Roman" w:eastAsia="Times New Roman" w:hAnsi="Times New Roman"/>
          <w:sz w:val="26"/>
          <w:szCs w:val="26"/>
        </w:rPr>
        <w:t xml:space="preserve">d) Chuyển nhượng vốn.</w:t>
      </w:r>
    </w:p>
    <w:p>
      <w:pPr>
        <w:spacing w:after="120" w:line="360"/>
      </w:pPr>
      <w:r>
        <w:rPr>
          <w:rFonts w:ascii="Times New Roman" w:cs="Times New Roman" w:eastAsia="Times New Roman" w:hAnsi="Times New Roman"/>
          <w:sz w:val="26"/>
          <w:szCs w:val="26"/>
        </w:rPr>
        <w:t xml:space="preserve">đ) Sản phẩm phái sinh.</w:t>
      </w:r>
    </w:p>
    <w:p>
      <w:pPr>
        <w:spacing w:after="120" w:line="360"/>
      </w:pPr>
      <w:r>
        <w:rPr>
          <w:rFonts w:ascii="Times New Roman" w:cs="Times New Roman" w:eastAsia="Times New Roman" w:hAnsi="Times New Roman"/>
          <w:sz w:val="26"/>
          <w:szCs w:val="26"/>
        </w:rPr>
        <w:t xml:space="preserve">e) Dịch vụ bưu chính, viễn thông.</w:t>
      </w:r>
    </w:p>
    <w:p>
      <w:pPr>
        <w:spacing w:after="120" w:line="360"/>
      </w:pPr>
      <w:r>
        <w:rPr>
          <w:rFonts w:ascii="Times New Roman" w:cs="Times New Roman" w:eastAsia="Times New Roman" w:hAnsi="Times New Roman"/>
          <w:sz w:val="26"/>
          <w:szCs w:val="26"/>
        </w:rPr>
        <w:t xml:space="preserve">g) Sản phẩm xuất khẩu quy định tại khoản 14 Điều 4 của Nghị định này.</w:t>
      </w:r>
    </w:p>
    <w:p>
      <w:pPr>
        <w:spacing w:after="120" w:line="360"/>
      </w:pPr>
      <w:r>
        <w:rPr>
          <w:rFonts w:ascii="Times New Roman" w:cs="Times New Roman" w:eastAsia="Times New Roman" w:hAnsi="Times New Roman"/>
          <w:sz w:val="26"/>
          <w:szCs w:val="26"/>
        </w:rPr>
        <w:t xml:space="preserve">h) Thuốc lá, rượu, bia nhập khẩu sau đó xuất khẩu.</w:t>
      </w:r>
    </w:p>
    <w:p>
      <w:pPr>
        <w:spacing w:after="120" w:line="360"/>
      </w:pPr>
      <w:r>
        <w:rPr>
          <w:rFonts w:ascii="Times New Roman" w:cs="Times New Roman" w:eastAsia="Times New Roman" w:hAnsi="Times New Roman"/>
          <w:sz w:val="26"/>
          <w:szCs w:val="26"/>
        </w:rPr>
        <w:t xml:space="preserve">i) Xăng, dầu mua tại nội địa bán cho cơ sở kinh doanh trong khu phi thuế quan; xe ô tô bán cho tổ chức, cá nhân trong khu phi thuế quan.</w:t>
      </w:r>
    </w:p>
    <w:p>
      <w:pPr>
        <w:spacing w:after="120" w:line="360"/>
      </w:pPr>
      <w:r>
        <w:rPr>
          <w:rFonts w:ascii="Times New Roman" w:cs="Times New Roman" w:eastAsia="Times New Roman" w:hAnsi="Times New Roman"/>
          <w:sz w:val="26"/>
          <w:szCs w:val="26"/>
        </w:rPr>
        <w:t xml:space="preserve">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pPr>
        <w:spacing w:after="120" w:line="360"/>
      </w:pPr>
      <w:r>
        <w:rPr>
          <w:rFonts w:ascii="Times New Roman" w:cs="Times New Roman" w:eastAsia="Times New Roman" w:hAnsi="Times New Roman"/>
          <w:sz w:val="26"/>
          <w:szCs w:val="26"/>
        </w:rPr>
        <w:t xml:space="preserve">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Bộ Tài chính quy định chi tiết Điều này trong trường hợp cần thiết để thực hiện chức năng quản lý nhà nước.</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Điều kiện áp dụng thuế suất 0% Hàng hóa, dịch vụ xuất khẩu áp dụng thuế suất 0% quy định tại Điều 17 Nghị định này (trừ một số trường hợp đặc thù quy định tại Điều 27, Điều 28 Nghị định này) phải đáp ứng quy định sau: 1.</w:t>
      </w:r>
    </w:p>
    <w:p>
      <w:pPr>
        <w:spacing w:after="120" w:line="360"/>
      </w:pPr>
      <w:r>
        <w:rPr>
          <w:rFonts w:ascii="Times New Roman" w:cs="Times New Roman" w:eastAsia="Times New Roman" w:hAnsi="Times New Roman"/>
          <w:sz w:val="26"/>
          <w:szCs w:val="26"/>
        </w:rPr>
        <w:t xml:space="preserve">Đối với hàng hóa xuất khẩu, phải có: a) Hợp đồng bán, gia công hàng hóa xuất khẩu (đối với trường hợp bán, gia công); hợp đồng ủy thác xuất khẩu (đối với trường hợp ủy thác xuất khẩu).</w:t>
      </w:r>
    </w:p>
    <w:p>
      <w:pPr>
        <w:spacing w:after="120" w:line="360"/>
      </w:pPr>
      <w:r>
        <w:rPr>
          <w:rFonts w:ascii="Times New Roman" w:cs="Times New Roman" w:eastAsia="Times New Roman" w:hAnsi="Times New Roman"/>
          <w:sz w:val="26"/>
          <w:szCs w:val="26"/>
        </w:rPr>
        <w:t xml:space="preserve">b) Chứng từ thanh toán không dùng tiền mặt đối với hàng hóa xuất khẩu.</w:t>
      </w:r>
    </w:p>
    <w:p>
      <w:pPr>
        <w:spacing w:after="120" w:line="360"/>
      </w:pPr>
      <w:r>
        <w:rPr>
          <w:rFonts w:ascii="Times New Roman" w:cs="Times New Roman" w:eastAsia="Times New Roman" w:hAnsi="Times New Roman"/>
          <w:sz w:val="26"/>
          <w:szCs w:val="26"/>
        </w:rPr>
        <w:t xml:space="preserve">c) Tờ khai hải quan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dịch vụ xuất khẩu, trừ quy định tại khoản 3, 4, 5 Điều này, phải có: a) Hợp đồng cung cấp dịch vụ với tổ chức, cá nhân ở nước ngoài hoặc ở trong khu phi thuế quan.</w:t>
      </w:r>
    </w:p>
    <w:p>
      <w:pPr>
        <w:spacing w:after="120" w:line="360"/>
      </w:pPr>
      <w:r>
        <w:rPr>
          <w:rFonts w:ascii="Times New Roman" w:cs="Times New Roman" w:eastAsia="Times New Roman" w:hAnsi="Times New Roman"/>
          <w:sz w:val="26"/>
          <w:szCs w:val="26"/>
        </w:rPr>
        <w:t xml:space="preserve">b) Chứng từ thanh toán không dùng tiền mặt đối với dịch vụ xuất khẩu.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vận tải quốc tế, phải có: 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w:t>
      </w:r>
    </w:p>
    <w:p>
      <w:pPr>
        <w:spacing w:after="120" w:line="360"/>
      </w:pPr>
      <w:r>
        <w:rPr>
          <w:rFonts w:ascii="Times New Roman" w:cs="Times New Roman" w:eastAsia="Times New Roman" w:hAnsi="Times New Roman"/>
          <w:sz w:val="26"/>
          <w:szCs w:val="26"/>
        </w:rPr>
        <w:t xml:space="preserve">Đối với vận chuyển hành khách, hợp đồng vận chuyển là vé.</w:t>
      </w:r>
    </w:p>
    <w:p>
      <w:pPr>
        <w:spacing w:after="120" w:line="360"/>
      </w:pPr>
      <w:r>
        <w:rPr>
          <w:rFonts w:ascii="Times New Roman" w:cs="Times New Roman" w:eastAsia="Times New Roman" w:hAnsi="Times New Roman"/>
          <w:sz w:val="26"/>
          <w:szCs w:val="26"/>
        </w:rPr>
        <w:t xml:space="preserve">Cơ sở kinh doanh vận tải quốc tế thực hiện theo các quy định của pháp luật về vận tải.</w:t>
      </w:r>
    </w:p>
    <w:p>
      <w:pPr>
        <w:spacing w:after="120" w:line="360"/>
      </w:pPr>
      <w:r>
        <w:rPr>
          <w:rFonts w:ascii="Times New Roman" w:cs="Times New Roman" w:eastAsia="Times New Roman" w:hAnsi="Times New Roman"/>
          <w:sz w:val="26"/>
          <w:szCs w:val="26"/>
        </w:rPr>
        <w:t xml:space="preserve">b) Chứng từ thanh toán không dùng tiền mặt.</w:t>
      </w:r>
    </w:p>
    <w:p>
      <w:pPr>
        <w:spacing w:after="120" w:line="360"/>
      </w:pPr>
      <w:r>
        <w:rPr>
          <w:rFonts w:ascii="Times New Roman" w:cs="Times New Roman" w:eastAsia="Times New Roman" w:hAnsi="Times New Roman"/>
          <w:sz w:val="26"/>
          <w:szCs w:val="26"/>
        </w:rPr>
        <w:t xml:space="preserve">Đối với trường hợp vận chuyển hành khách là cá nhân, có chứng từ thanh toán trực tiếp.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dịch vụ của ngành hàng không, phải có: a) Hợp đồng cung cấp dịch vụ với tổ chức ở nước ngoài, hãng hàng không nước ngoài hoặc yêu cầu cung cấp dịch vụ của tổ chức ở nước ngoài, hãng hàng không nước ngoài.</w:t>
      </w:r>
    </w:p>
    <w:p>
      <w:pPr>
        <w:spacing w:after="120" w:line="360"/>
      </w:pPr>
      <w:r>
        <w:rPr>
          <w:rFonts w:ascii="Times New Roman" w:cs="Times New Roman" w:eastAsia="Times New Roman" w:hAnsi="Times New Roman"/>
          <w:sz w:val="26"/>
          <w:szCs w:val="26"/>
        </w:rPr>
        <w:t xml:space="preserve">b) Chứng từ thanh toán không dùng tiền mặt.</w:t>
      </w:r>
    </w:p>
    <w:p>
      <w:pPr>
        <w:spacing w:after="120" w:line="360"/>
      </w:pPr>
      <w:r>
        <w:rPr>
          <w:rFonts w:ascii="Times New Roman" w:cs="Times New Roman" w:eastAsia="Times New Roman" w:hAnsi="Times New Roman"/>
          <w:sz w:val="26"/>
          <w:szCs w:val="26"/>
        </w:rPr>
        <w:t xml:space="preserve">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pPr>
        <w:spacing w:after="120" w:line="360"/>
      </w:pPr>
      <w:r>
        <w:rPr>
          <w:rFonts w:ascii="Times New Roman" w:cs="Times New Roman" w:eastAsia="Times New Roman" w:hAnsi="Times New Roman"/>
          <w:sz w:val="26"/>
          <w:szCs w:val="26"/>
        </w:rPr>
        <w:t xml:space="preserve">Các quy định về hợp đồng và chứng từ thanh toán nêu tại khoản này không áp dụng đối với dịch vụ phục vụ hành khách đi chuyến bay quốc tế từ cảng hàng không Việt Nam (passenger service charges).</w:t>
      </w:r>
    </w:p>
    <w:p>
      <w:pPr>
        <w:spacing w:after="120" w:line="360"/>
      </w:pPr>
      <w:r>
        <w:rPr>
          <w:rFonts w:ascii="Times New Roman" w:cs="Times New Roman" w:eastAsia="Times New Roman" w:hAnsi="Times New Roman"/>
          <w:sz w:val="26"/>
          <w:szCs w:val="26"/>
        </w:rPr>
        <w:t xml:space="preserve">Riêng đối với dịch vụ sửa chữa tàu bay cung cấp cho tổ chức, cá nhân nước ngoài, để được áp dụng thuế suất 0%, tàu bay đưa vào Việt Nam phải làm thủ tục tạm nhập khẩu, tái xuất khẩu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dịch vụ của ngành hàng hải, phải có: a) Hợp đồng cung cấp dịch vụ với tổ chức ở nước ngoài, người đại lý tàu biển hoặc yêu cầu cung cấp dịch vụ của tổ chức ở nước ngoài hoặc người đại lý tàu biển.</w:t>
      </w:r>
    </w:p>
    <w:p>
      <w:pPr>
        <w:spacing w:after="120" w:line="360"/>
      </w:pPr>
      <w:r>
        <w:rPr>
          <w:rFonts w:ascii="Times New Roman" w:cs="Times New Roman" w:eastAsia="Times New Roman" w:hAnsi="Times New Roman"/>
          <w:sz w:val="26"/>
          <w:szCs w:val="26"/>
        </w:rPr>
        <w:t xml:space="preserve">b) Chứng từ thanh toán không dùng tiền mặt của tổ chức ở nước ngoài hoặc có chứng từ thanh toán không dùng tiền mặt của người đại lý tàu biển cho cơ sở kinh doanh cung cấp dịch vụ.</w:t>
      </w:r>
    </w:p>
    <w:p>
      <w:pPr>
        <w:spacing w:after="120" w:line="360"/>
      </w:pPr>
      <w:r>
        <w:rPr>
          <w:rFonts w:ascii="Times New Roman" w:cs="Times New Roman" w:eastAsia="Times New Roman" w:hAnsi="Times New Roman"/>
          <w:sz w:val="26"/>
          <w:szCs w:val="26"/>
        </w:rPr>
        <w:t xml:space="preserve">Riêng đối với dịch vụ sửa chữa tàu biển cung cấp cho tổ chức, cá nhân nước ngoài, để được áp dụng thuế suất 0%, tàu biển đưa vào Việt Nam phải làm thủ tục tạm nhập khẩu, tái xuất khẩu theo quy định.</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Mức thuế suất 5% Mức thuế suất 5% áp dụng đối với hàng hóa, dịch vụ quy định tại khoản 2 Điều 9 Luật Thuế giá trị gia tăng.</w:t>
      </w:r>
    </w:p>
    <w:p>
      <w:pPr>
        <w:spacing w:after="120" w:line="360"/>
      </w:pPr>
      <w:r>
        <w:rPr>
          <w:rFonts w:ascii="Times New Roman" w:cs="Times New Roman" w:eastAsia="Times New Roman" w:hAnsi="Times New Roman"/>
          <w:sz w:val="26"/>
          <w:szCs w:val="26"/>
        </w:rPr>
        <w:t xml:space="preserve">Một số trường hợp được quy định chi tiết như sau: 1.</w:t>
      </w:r>
    </w:p>
    <w:p>
      <w:pPr>
        <w:spacing w:after="120" w:line="360"/>
      </w:pPr>
      <w:r>
        <w:rPr>
          <w:rFonts w:ascii="Times New Roman" w:cs="Times New Roman" w:eastAsia="Times New Roman" w:hAnsi="Times New Roman"/>
          <w:sz w:val="26"/>
          <w:szCs w:val="26"/>
        </w:rPr>
        <w:t xml:space="preserve">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Dịch vụ đào đắp, nạo vét kênh, mương, ao hồ phục vụ sản xuất nông nghiệp; nuôi trồng, chăm sóc, phòng trừ sâu bệnh cho cây trồng; sơ chế, bảo quản sản phẩm nông nghiệp.</w:t>
      </w:r>
    </w:p>
    <w:p>
      <w:pPr>
        <w:spacing w:after="120" w:line="360"/>
      </w:pPr>
      <w:r>
        <w:rPr>
          <w:rFonts w:ascii="Times New Roman" w:cs="Times New Roman" w:eastAsia="Times New Roman" w:hAnsi="Times New Roman"/>
          <w:sz w:val="26"/>
          <w:szCs w:val="26"/>
        </w:rPr>
        <w:t xml:space="preserve">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Sản phẩm cây trồng, rừng trồng (trừ gỗ, măng), chăn nuôi, thủy sản nuôi trồng, đánh bắt chưa chế biến thành các sản phẩm khác hoặc chỉ qua sơ chế thông thường, trừ sản phẩm quy định tại khoản 1 Điều 4 của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Mủ cao su dạng mủ cờ rếp, mủ tờ, mủ bún, mủ cốm; lưới, dây giềng và sợi để đan lưới đánh cá.</w:t>
      </w:r>
    </w:p>
    <w:p>
      <w:pPr>
        <w:spacing w:after="120" w:line="360"/>
      </w:pPr>
      <w:r>
        <w:rPr>
          <w:rFonts w:ascii="Times New Roman" w:cs="Times New Roman" w:eastAsia="Times New Roman" w:hAnsi="Times New Roman"/>
          <w:sz w:val="26"/>
          <w:szCs w:val="26"/>
        </w:rPr>
        <w:t xml:space="preserve">Trong đó, lưới, dây giềng và sợi để đan lưới đánh cá bao gồm các loại lưới đánh cá, các loại sợi, dây giềng loại chuyên dùng để đan lưới đánh cá không phân biệt nguyên liệu sản xuất.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Sản phẩm bằng đay, cói, tre, nứa, lá, rơm, vỏ dừa, sọ dừa, bèo tây và các sản phẩm thủ công khác sản xuất bằng nguyên liệu tận dụng từ nông nghiệp; xơ bông đã qua chải thô, chải kỹ; giấy in báo.</w:t>
      </w:r>
    </w:p>
    <w:p>
      <w:pPr>
        <w:spacing w:after="120" w:line="360"/>
      </w:pPr>
      <w:r>
        <w:rPr>
          <w:rFonts w:ascii="Times New Roman" w:cs="Times New Roman" w:eastAsia="Times New Roman" w:hAnsi="Times New Roman"/>
          <w:sz w:val="26"/>
          <w:szCs w:val="26"/>
        </w:rPr>
        <w:t xml:space="preserve">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Tàu khai thác thủy sản tại vùng biển; máy móc, thiết bị chuyên dùng phục vụ cho sản xuất nông nghiệp.</w:t>
      </w:r>
    </w:p>
    <w:p>
      <w:pPr>
        <w:spacing w:after="120" w:line="360"/>
      </w:pPr>
      <w:r>
        <w:rPr>
          <w:rFonts w:ascii="Times New Roman" w:cs="Times New Roman" w:eastAsia="Times New Roman" w:hAnsi="Times New Roman"/>
          <w:sz w:val="26"/>
          <w:szCs w:val="26"/>
        </w:rPr>
        <w:t xml:space="preserve">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pPr>
        <w:spacing w:after="120" w:line="360"/>
      </w:pPr>
      <w:r>
        <w:rPr>
          <w:rFonts w:ascii="Times New Roman" w:cs="Times New Roman" w:eastAsia="Times New Roman" w:hAnsi="Times New Roman"/>
          <w:sz w:val="26"/>
          <w:szCs w:val="26"/>
        </w:rPr>
        <w:t xml:space="preserve">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Thiết bị y tế theo quy định của pháp luật về quản lý thiết bị y tế; thuốc phòng bệnh, chữa bệnh; dược chất, dược liệu là nguyên liệu sản xuất thuốc chữa bệnh, thuốc phòng bệnh.</w:t>
      </w:r>
    </w:p>
    <w:p>
      <w:pPr>
        <w:spacing w:after="120" w:line="360"/>
      </w:pPr>
      <w:r>
        <w:rPr>
          <w:rFonts w:ascii="Times New Roman" w:cs="Times New Roman" w:eastAsia="Times New Roman" w:hAnsi="Times New Roman"/>
          <w:sz w:val="26"/>
          <w:szCs w:val="26"/>
        </w:rPr>
        <w:t xml:space="preserve">Trong đó: 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pPr>
        <w:spacing w:after="120" w:line="360"/>
      </w:pPr>
      <w:r>
        <w:rPr>
          <w:rFonts w:ascii="Times New Roman" w:cs="Times New Roman" w:eastAsia="Times New Roman" w:hAnsi="Times New Roman"/>
          <w:sz w:val="26"/>
          <w:szCs w:val="26"/>
        </w:rPr>
        <w:t xml:space="preserve">b) Thuốc phòng bệnh, chữa bệnh bao gồm thuốc thành phẩm, nguyên liệu làm thuốc, trừ thực phẩm chức năng; vắc-xin; sinh phẩm y tế, nước cất để pha chế thuốc tiêm, dịch truyền.</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Hoạt động nghệ thuật biểu diễn truyền thống, dân gian là các hoạt động nghệ thuật biểu diễn, nghệ thuật trình diễn dân gian theo quy định pháp luật về nghệ thuật biểu diễn và di sản văn hóa.</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Đồ chơi cho trẻ em; sách các loại, trừ sách quy định tại khoản 8 Điều 4 của Nghị định này.</w:t>
      </w:r>
    </w:p>
    <w:p>
      <w:pPr>
        <w:spacing w:after="120" w:line="360"/>
      </w:pPr>
      <w:r>
        <w:rPr>
          <w:rFonts w:ascii="Times New Roman" w:cs="Times New Roman" w:eastAsia="Times New Roman" w:hAnsi="Times New Roman"/>
          <w:sz w:val="26"/>
          <w:szCs w:val="26"/>
        </w:rPr>
        <w:t xml:space="preserve">Mục 4.</w:t>
      </w:r>
    </w:p>
    <w:p>
      <w:pPr>
        <w:spacing w:after="120" w:line="360"/>
      </w:pPr>
      <w:r>
        <w:rPr>
          <w:rFonts w:ascii="Times New Roman" w:cs="Times New Roman" w:eastAsia="Times New Roman" w:hAnsi="Times New Roman"/>
          <w:sz w:val="26"/>
          <w:szCs w:val="26"/>
        </w:rPr>
        <w:t xml:space="preserve">PHƯƠNG PHÁP KHẤU TRỪ THUẾ Điều 20.</w:t>
      </w:r>
    </w:p>
    <w:p>
      <w:pPr>
        <w:spacing w:after="120" w:line="360"/>
      </w:pPr>
      <w:r>
        <w:rPr>
          <w:rFonts w:ascii="Times New Roman" w:cs="Times New Roman" w:eastAsia="Times New Roman" w:hAnsi="Times New Roman"/>
          <w:sz w:val="26"/>
          <w:szCs w:val="26"/>
        </w:rPr>
        <w:t xml:space="preserve">Phương pháp khấu trừ thuế 1.</w:t>
      </w:r>
    </w:p>
    <w:p>
      <w:pPr>
        <w:spacing w:after="120" w:line="360"/>
      </w:pPr>
      <w:r>
        <w:rPr>
          <w:rFonts w:ascii="Times New Roman" w:cs="Times New Roman" w:eastAsia="Times New Roman" w:hAnsi="Times New Roman"/>
          <w:sz w:val="26"/>
          <w:szCs w:val="26"/>
        </w:rPr>
        <w:t xml:space="preserve">Số thuế giá trị gia tăng phải nộp theo phương pháp khấu trừ thuế bằng số thuế giá trị gia tăng đầu ra trừ số thuế giá trị gia tăng đầu vào được khấu trừ.</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Số thuế giá trị gia tăng đầu ra bằng tổng số thuế giá trị gia tăng của hàng hóa, dịch vụ bán ra ghi trên hóa đơn giá trị gia tăng.</w:t>
      </w:r>
    </w:p>
    <w:p>
      <w:pPr>
        <w:spacing w:after="120" w:line="360"/>
      </w:pPr>
      <w:r>
        <w:rPr>
          <w:rFonts w:ascii="Times New Roman" w:cs="Times New Roman" w:eastAsia="Times New Roman" w:hAnsi="Times New Roman"/>
          <w:sz w:val="26"/>
          <w:szCs w:val="26"/>
        </w:rPr>
        <w:t xml:space="preserve">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spacing w:after="120" w:line="360"/>
      </w:pPr>
      <w:r>
        <w:rPr>
          <w:rFonts w:ascii="Times New Roman" w:cs="Times New Roman" w:eastAsia="Times New Roman" w:hAnsi="Times New Roman"/>
          <w:sz w:val="26"/>
          <w:szCs w:val="26"/>
        </w:rP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khoản 2 Điều 9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w:t>
      </w:r>
    </w:p>
    <w:p>
      <w:pPr>
        <w:spacing w:after="120" w:line="360"/>
      </w:pPr>
      <w:r>
        <w:rPr>
          <w:rFonts w:ascii="Times New Roman" w:cs="Times New Roman" w:eastAsia="Times New Roman" w:hAnsi="Times New Roman"/>
          <w:sz w:val="26"/>
          <w:szCs w:val="26"/>
        </w:rPr>
        <w:t xml:space="preserve">Trong đó, chứng từ nộp thuế đối với trường hợp mua dịch vụ thực hiện theo quy định tại điểm a khoản 2 Điều 3 của Nghị định này, khoản 3 Điều 4 Luật Thuế giá trị gia tăng.</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Đối tượng áp dụng phương pháp khấu trừ thuế Phương pháp khấu trừ thuế áp dụng đối với cơ sở kinh doanh thực hiện đầy đủ chế độ kế toán, hóa đơn, chứng từ theo quy định của pháp luật về kế toán, hóa đơn, chứng từ bao gồm: 1.</w:t>
      </w:r>
    </w:p>
    <w:p>
      <w:pPr>
        <w:spacing w:after="120" w:line="360"/>
      </w:pPr>
      <w:r>
        <w:rPr>
          <w:rFonts w:ascii="Times New Roman" w:cs="Times New Roman" w:eastAsia="Times New Roman" w:hAnsi="Times New Roman"/>
          <w:sz w:val="26"/>
          <w:szCs w:val="26"/>
        </w:rPr>
        <w:t xml:space="preserve">Cơ sở kinh doanh có doanh thu hằng năm từ bán hàng hóa, cung cấp dịch vụ từ 01 tỷ đồng trở lên, trừ hộ, cá nhân sản xuất, kinh doanh.</w:t>
      </w:r>
    </w:p>
    <w:p>
      <w:pPr>
        <w:spacing w:after="120" w:line="360"/>
      </w:pPr>
      <w:r>
        <w:rPr>
          <w:rFonts w:ascii="Times New Roman" w:cs="Times New Roman" w:eastAsia="Times New Roman" w:hAnsi="Times New Roman"/>
          <w:sz w:val="26"/>
          <w:szCs w:val="26"/>
        </w:rPr>
        <w:t xml:space="preserve">Trong đó: 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w:t>
      </w:r>
    </w:p>
    <w:p>
      <w:pPr>
        <w:spacing w:after="120" w:line="360"/>
      </w:pPr>
      <w:r>
        <w:rPr>
          <w:rFonts w:ascii="Times New Roman" w:cs="Times New Roman" w:eastAsia="Times New Roman" w:hAnsi="Times New Roman"/>
          <w:sz w:val="26"/>
          <w:szCs w:val="26"/>
        </w:rPr>
        <w:t xml:space="preserve">Thời gian áp dụng ổn định phương pháp tính thuế là 02 năm liên tục.</w:t>
      </w:r>
    </w:p>
    <w:p>
      <w:pPr>
        <w:spacing w:after="120" w:line="360"/>
      </w:pPr>
      <w:r>
        <w:rPr>
          <w:rFonts w:ascii="Times New Roman" w:cs="Times New Roman" w:eastAsia="Times New Roman" w:hAnsi="Times New Roman"/>
          <w:sz w:val="26"/>
          <w:szCs w:val="26"/>
        </w:rPr>
        <w:t xml:space="preserve">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w:t>
      </w:r>
    </w:p>
    <w:p>
      <w:pPr>
        <w:spacing w:after="120" w:line="360"/>
      </w:pPr>
      <w:r>
        <w:rPr>
          <w:rFonts w:ascii="Times New Roman" w:cs="Times New Roman" w:eastAsia="Times New Roman" w:hAnsi="Times New Roman"/>
          <w:sz w:val="26"/>
          <w:szCs w:val="26"/>
        </w:rPr>
        <w:t xml:space="preserve">Trường hợp theo cách xác định như trên, doanh thu ước tính từ 01 tỷ đồng trở lên thì cơ sở kinh doanh áp dụng phương pháp khấu trừ thuế.</w:t>
      </w:r>
    </w:p>
    <w:p>
      <w:pPr>
        <w:spacing w:after="120" w:line="360"/>
      </w:pPr>
      <w:r>
        <w:rPr>
          <w:rFonts w:ascii="Times New Roman" w:cs="Times New Roman" w:eastAsia="Times New Roman" w:hAnsi="Times New Roman"/>
          <w:sz w:val="26"/>
          <w:szCs w:val="26"/>
        </w:rPr>
        <w:t xml:space="preserve">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pPr>
        <w:spacing w:after="120" w:line="360"/>
      </w:pPr>
      <w:r>
        <w:rPr>
          <w:rFonts w:ascii="Times New Roman" w:cs="Times New Roman" w:eastAsia="Times New Roman" w:hAnsi="Times New Roman"/>
          <w:sz w:val="26"/>
          <w:szCs w:val="26"/>
        </w:rPr>
        <w:t xml:space="preserve">c) Trường hợp cơ sở kinh doanh tạm nghỉ sản xuất, kinh doanh trong cả năm thì xác định theo doanh thu của năm trước năm tạm nghỉ sản xuất, kinh doanh.</w:t>
      </w:r>
    </w:p>
    <w:p>
      <w:pPr>
        <w:spacing w:after="120" w:line="360"/>
      </w:pPr>
      <w:r>
        <w:rPr>
          <w:rFonts w:ascii="Times New Roman" w:cs="Times New Roman" w:eastAsia="Times New Roman" w:hAnsi="Times New Roman"/>
          <w:sz w:val="26"/>
          <w:szCs w:val="26"/>
        </w:rPr>
        <w:t xml:space="preserve">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sở kinh doanh tự nguyện áp dụng phương pháp khấu trừ thuế, trừ hộ, cá nhân sản xuất, kinh doanh.</w:t>
      </w:r>
    </w:p>
    <w:p>
      <w:pPr>
        <w:spacing w:after="120" w:line="360"/>
      </w:pPr>
      <w:r>
        <w:rPr>
          <w:rFonts w:ascii="Times New Roman" w:cs="Times New Roman" w:eastAsia="Times New Roman" w:hAnsi="Times New Roman"/>
          <w:sz w:val="26"/>
          <w:szCs w:val="26"/>
        </w:rPr>
        <w:t xml:space="preserve">Trong đó: 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pPr>
        <w:spacing w:after="120" w:line="360"/>
      </w:pPr>
      <w:r>
        <w:rPr>
          <w:rFonts w:ascii="Times New Roman" w:cs="Times New Roman" w:eastAsia="Times New Roman" w:hAnsi="Times New Roman"/>
          <w:sz w:val="26"/>
          <w:szCs w:val="26"/>
        </w:rPr>
        <w:t xml:space="preserve">b) Doanh nghiệp mới thành lập từ dự án đầu tư của cơ sở kinh doanh đang hoạt động nộp thuế giá trị gia tăng theo phương pháp khấu trừ thuế.</w:t>
      </w:r>
    </w:p>
    <w:p>
      <w:pPr>
        <w:spacing w:after="120" w:line="360"/>
      </w:pPr>
      <w:r>
        <w:rPr>
          <w:rFonts w:ascii="Times New Roman" w:cs="Times New Roman" w:eastAsia="Times New Roman" w:hAnsi="Times New Roman"/>
          <w:sz w:val="26"/>
          <w:szCs w:val="26"/>
        </w:rPr>
        <w:t xml:space="preserve">c) Doanh nghiệp mới thành lập có thực hiện đầu tư theo dự án đầu tư được cấp có thẩm quyền phê duyệt thuộc trường hợp đăng ký tự nguyện áp dụng phương pháp khấu trừ thuế.</w:t>
      </w:r>
    </w:p>
    <w:p>
      <w:pPr>
        <w:spacing w:after="120" w:line="360"/>
      </w:pPr>
      <w:r>
        <w:rPr>
          <w:rFonts w:ascii="Times New Roman" w:cs="Times New Roman" w:eastAsia="Times New Roman" w:hAnsi="Times New Roman"/>
          <w:sz w:val="26"/>
          <w:szCs w:val="26"/>
        </w:rPr>
        <w:t xml:space="preserve">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pPr>
        <w:spacing w:after="120" w:line="360"/>
      </w:pPr>
      <w:r>
        <w:rPr>
          <w:rFonts w:ascii="Times New Roman" w:cs="Times New Roman" w:eastAsia="Times New Roman" w:hAnsi="Times New Roman"/>
          <w:sz w:val="26"/>
          <w:szCs w:val="26"/>
        </w:rPr>
        <w:t xml:space="preserve">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pPr>
        <w:spacing w:after="120" w:line="360"/>
      </w:pPr>
      <w:r>
        <w:rPr>
          <w:rFonts w:ascii="Times New Roman" w:cs="Times New Roman" w:eastAsia="Times New Roman" w:hAnsi="Times New Roman"/>
          <w:sz w:val="26"/>
          <w:szCs w:val="26"/>
        </w:rPr>
        <w:t xml:space="preserve">e) Tổ chức nước ngoài có cơ sở thường trú tại Việt Nam, cá nhân ở nước ngoài là đối tượng cư trú tại Việt Nam có doanh thu phát sinh tại Việt Nam.</w:t>
      </w:r>
    </w:p>
    <w:p>
      <w:pPr>
        <w:spacing w:after="120" w:line="360"/>
      </w:pPr>
      <w:r>
        <w:rPr>
          <w:rFonts w:ascii="Times New Roman" w:cs="Times New Roman" w:eastAsia="Times New Roman" w:hAnsi="Times New Roman"/>
          <w:sz w:val="26"/>
          <w:szCs w:val="26"/>
        </w:rPr>
        <w:t xml:space="preserve">g) Tổ chức kinh tế khác hạch toán được thuế giá trị gia tăng đầu vào, đầu ra, không bao gồm doanh nghiệp, hợp tác xã, liên hiệp hợp tác xã.</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pPr>
        <w:spacing w:after="120" w:line="360"/>
      </w:pPr>
      <w:r>
        <w:rPr>
          <w:rFonts w:ascii="Times New Roman" w:cs="Times New Roman" w:eastAsia="Times New Roman" w:hAnsi="Times New Roman"/>
          <w:sz w:val="26"/>
          <w:szCs w:val="26"/>
        </w:rPr>
        <w:t xml:space="preserve">Mục 5.</w:t>
      </w:r>
    </w:p>
    <w:p>
      <w:pPr>
        <w:spacing w:after="120" w:line="360"/>
      </w:pPr>
      <w:r>
        <w:rPr>
          <w:rFonts w:ascii="Times New Roman" w:cs="Times New Roman" w:eastAsia="Times New Roman" w:hAnsi="Times New Roman"/>
          <w:sz w:val="26"/>
          <w:szCs w:val="26"/>
        </w:rPr>
        <w:t xml:space="preserve">PHƯƠNG PHÁP TÍNH TRỰC TIẾP TRÊN GIÁ TRỊ GIA TĂNG ĐỐI VỚI HOẠT ĐỘNG MUA, BÁN, CHẾ TÁC VÀNG, BẠC, ĐÁ QUÝ Điều 22.</w:t>
      </w:r>
    </w:p>
    <w:p>
      <w:pPr>
        <w:spacing w:after="120" w:line="360"/>
      </w:pPr>
      <w:r>
        <w:rPr>
          <w:rFonts w:ascii="Times New Roman" w:cs="Times New Roman" w:eastAsia="Times New Roman" w:hAnsi="Times New Roman"/>
          <w:sz w:val="26"/>
          <w:szCs w:val="26"/>
        </w:rPr>
        <w:t xml:space="preserve">Phương pháp tính trực tiếp trên giá trị gia tăng đối với hoạt động mua, bán, chế tác vàng, bạc, đá quý 1.</w:t>
      </w:r>
    </w:p>
    <w:p>
      <w:pPr>
        <w:spacing w:after="120" w:line="360"/>
      </w:pPr>
      <w:r>
        <w:rPr>
          <w:rFonts w:ascii="Times New Roman" w:cs="Times New Roman" w:eastAsia="Times New Roman" w:hAnsi="Times New Roman"/>
          <w:sz w:val="26"/>
          <w:szCs w:val="26"/>
        </w:rPr>
        <w:t xml:space="preserve">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Giá trị gia tăng của hoạt động mua, bán, chế tác vàng, bạc, đá quý được xác định bằng giá thanh toán của vàng, bạc, đá quý bán ra trừ giá thanh toán của vàng, bạc, đá quý mua vào tương ứng.</w:t>
      </w:r>
    </w:p>
    <w:p>
      <w:pPr>
        <w:spacing w:after="120" w:line="360"/>
      </w:pPr>
      <w:r>
        <w:rPr>
          <w:rFonts w:ascii="Times New Roman" w:cs="Times New Roman" w:eastAsia="Times New Roman" w:hAnsi="Times New Roman"/>
          <w:sz w:val="26"/>
          <w:szCs w:val="26"/>
        </w:rPr>
        <w:t xml:space="preserve">Trong đó: 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spacing w:after="120" w:line="360"/>
      </w:pPr>
      <w:r>
        <w:rPr>
          <w:rFonts w:ascii="Times New Roman" w:cs="Times New Roman" w:eastAsia="Times New Roman" w:hAnsi="Times New Roman"/>
          <w:sz w:val="26"/>
          <w:szCs w:val="26"/>
        </w:rPr>
        <w:t xml:space="preserve">b) Giá thanh toán của vàng, bạc, đá quý mua vào được xác định bằng giá trị vàng, bạc, đá quý mua vào hoặc nhập khẩu, đã có thuế giá trị gia tăng dùng cho mua, bán, chế tác vàng, bạc, đá quý bán ra tương ứng.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cơ sở kinh doanh có hoạt động mua, bán, chế tác vàng, bạc, đá quý thì cơ sở kinh doanh phải hạch toán riêng hoạt động này để nộp thuế theo phương pháp tính trực tiếp trên giá trị gia tăng.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trong kỳ tính thuế phát sinh giá trị gia tăng âm (-) của vàng, bạc, đá quý thì được tính bù trừ vào giá trị gia tăng dương (+) của vàng, bạc, đá quý.</w:t>
      </w:r>
    </w:p>
    <w:p>
      <w:pPr>
        <w:spacing w:after="120" w:line="360"/>
      </w:pPr>
      <w:r>
        <w:rPr>
          <w:rFonts w:ascii="Times New Roman" w:cs="Times New Roman" w:eastAsia="Times New Roman" w:hAnsi="Times New Roman"/>
          <w:sz w:val="26"/>
          <w:szCs w:val="26"/>
        </w:rPr>
        <w:t xml:space="preserve">Trường hợp không phát sinh giá trị gia tăng dương (+) hoặc giá trị gia tăng dương (+) không đủ bù trừ giá trị gia tăng âm (-) thì được kết chuyển để trừ vào giá trị gia tăng của kỳ sau trong năm.</w:t>
      </w:r>
    </w:p>
    <w:p>
      <w:pPr>
        <w:spacing w:after="120" w:line="360"/>
      </w:pPr>
      <w:r>
        <w:rPr>
          <w:rFonts w:ascii="Times New Roman" w:cs="Times New Roman" w:eastAsia="Times New Roman" w:hAnsi="Times New Roman"/>
          <w:sz w:val="26"/>
          <w:szCs w:val="26"/>
        </w:rPr>
        <w:t xml:space="preserve">Kết thúc năm dương lịch, giá trị gia tăng âm (-) không được kết chuyển tiếp sang năm sau.</w:t>
      </w:r>
    </w:p>
    <w:p>
      <w:pPr>
        <w:spacing w:after="120" w:line="360"/>
      </w:pPr>
      <w:r>
        <w:rPr>
          <w:rFonts w:ascii="Times New Roman" w:cs="Times New Roman" w:eastAsia="Times New Roman" w:hAnsi="Times New Roman"/>
          <w:sz w:val="26"/>
          <w:szCs w:val="26"/>
        </w:rPr>
        <w:t xml:space="preserve">Chương III KHẤU TRỪ, HOÀN THUẾ Mục 1.</w:t>
      </w:r>
    </w:p>
    <w:p>
      <w:pPr>
        <w:spacing w:after="120" w:line="360"/>
      </w:pPr>
      <w:r>
        <w:rPr>
          <w:rFonts w:ascii="Times New Roman" w:cs="Times New Roman" w:eastAsia="Times New Roman" w:hAnsi="Times New Roman"/>
          <w:sz w:val="26"/>
          <w:szCs w:val="26"/>
        </w:rPr>
        <w:t xml:space="preserve">NGUYÊN TẮC KHẤU TRỪ THUẾ GIÁ TRỊ GIA TĂNG ĐẦU VÀO Điều 23.</w:t>
      </w:r>
    </w:p>
    <w:p>
      <w:pPr>
        <w:spacing w:after="120" w:line="360"/>
      </w:pPr>
      <w:r>
        <w:rPr>
          <w:rFonts w:ascii="Times New Roman" w:cs="Times New Roman" w:eastAsia="Times New Roman" w:hAnsi="Times New Roman"/>
          <w:sz w:val="26"/>
          <w:szCs w:val="26"/>
        </w:rPr>
        <w:t xml:space="preserve">Khấu trừ thuế giá trị gia tăng 1.</w:t>
      </w:r>
    </w:p>
    <w:p>
      <w:pPr>
        <w:spacing w:after="120" w:line="360"/>
      </w:pPr>
      <w:r>
        <w:rPr>
          <w:rFonts w:ascii="Times New Roman" w:cs="Times New Roman" w:eastAsia="Times New Roman" w:hAnsi="Times New Roman"/>
          <w:sz w:val="26"/>
          <w:szCs w:val="26"/>
        </w:rPr>
        <w:t xml:space="preserve">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w:t>
      </w:r>
    </w:p>
    <w:p>
      <w:pPr>
        <w:spacing w:after="120" w:line="360"/>
      </w:pPr>
      <w:r>
        <w:rPr>
          <w:rFonts w:ascii="Times New Roman" w:cs="Times New Roman" w:eastAsia="Times New Roman" w:hAnsi="Times New Roman"/>
          <w:sz w:val="26"/>
          <w:szCs w:val="26"/>
        </w:rPr>
        <w:t xml:space="preserve">Cơ sở kinh doanh phải có đầy đủ hồ sơ, tài liệu chứng minh các trường hợp tổn thất không được bồi thường để khấu trừ thuế.</w:t>
      </w:r>
    </w:p>
    <w:p>
      <w:pPr>
        <w:spacing w:after="120" w:line="360"/>
      </w:pPr>
      <w:r>
        <w:rPr>
          <w:rFonts w:ascii="Times New Roman" w:cs="Times New Roman" w:eastAsia="Times New Roman" w:hAnsi="Times New Roman"/>
          <w:sz w:val="26"/>
          <w:szCs w:val="26"/>
        </w:rPr>
        <w:t xml:space="preserve">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w:t>
      </w:r>
    </w:p>
    <w:p>
      <w:pPr>
        <w:spacing w:after="120" w:line="360"/>
      </w:pPr>
      <w:r>
        <w:rPr>
          <w:rFonts w:ascii="Times New Roman" w:cs="Times New Roman" w:eastAsia="Times New Roman" w:hAnsi="Times New Roman"/>
          <w:sz w:val="26"/>
          <w:szCs w:val="26"/>
        </w:rPr>
        <w:t xml:space="preserve">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w:t>
      </w:r>
    </w:p>
    <w:p>
      <w:pPr>
        <w:spacing w:after="120" w:line="360"/>
      </w:pPr>
      <w:r>
        <w:rPr>
          <w:rFonts w:ascii="Times New Roman" w:cs="Times New Roman" w:eastAsia="Times New Roman" w:hAnsi="Times New Roman"/>
          <w:sz w:val="26"/>
          <w:szCs w:val="26"/>
        </w:rPr>
        <w:t xml:space="preserve">Trong đó: 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w:t>
      </w:r>
    </w:p>
    <w:p>
      <w:pPr>
        <w:spacing w:after="120" w:line="360"/>
      </w:pPr>
      <w:r>
        <w:rPr>
          <w:rFonts w:ascii="Times New Roman" w:cs="Times New Roman" w:eastAsia="Times New Roman" w:hAnsi="Times New Roman"/>
          <w:sz w:val="26"/>
          <w:szCs w:val="26"/>
        </w:rPr>
        <w:t xml:space="preserve">Riêng hoạt động kinh doanh ngoại tệ, mua bán chứng khoán thì doanh thu là chênh lệch giữa giá bán và giá mua (trừ trường hợp chênh lệch âm (-)).</w:t>
      </w:r>
    </w:p>
    <w:p>
      <w:pPr>
        <w:spacing w:after="120" w:line="360"/>
      </w:pPr>
      <w:r>
        <w:rPr>
          <w:rFonts w:ascii="Times New Roman" w:cs="Times New Roman" w:eastAsia="Times New Roman" w:hAnsi="Times New Roman"/>
          <w:sz w:val="26"/>
          <w:szCs w:val="26"/>
        </w:rPr>
        <w:t xml:space="preserve">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w:t>
      </w:r>
    </w:p>
    <w:p>
      <w:pPr>
        <w:spacing w:after="120" w:line="360"/>
      </w:pPr>
      <w:r>
        <w:rPr>
          <w:rFonts w:ascii="Times New Roman" w:cs="Times New Roman" w:eastAsia="Times New Roman" w:hAnsi="Times New Roman"/>
          <w:sz w:val="26"/>
          <w:szCs w:val="26"/>
        </w:rPr>
        <w:t xml:space="preserve">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w:t>
      </w:r>
    </w:p>
    <w:p>
      <w:pPr>
        <w:spacing w:after="120" w:line="360"/>
      </w:pPr>
      <w:r>
        <w:rPr>
          <w:rFonts w:ascii="Times New Roman" w:cs="Times New Roman" w:eastAsia="Times New Roman" w:hAnsi="Times New Roman"/>
          <w:sz w:val="26"/>
          <w:szCs w:val="26"/>
        </w:rPr>
        <w:t xml:space="preserve">Cơ sở kinh doanh không bị xử phạt vi phạm hành chính về thuế đối với số thuế giá trị gia tăng chênh lệch do điều chỉnh giảm.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giá trị gia tăng đầu vào của hàng hóa, dịch vụ bán cho tổ chức, cá nhân sử dụng vốn viện trợ nhân đạo, viện trợ không hoàn lại được khấu trừ toàn bộ.</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Thuế giá trị gia tăng đầu vào của hàng hóa, dịch vụ sử dụng cho hoạt động tìm kiếm thăm dò, phát triển mỏ dầu khí được khấu trừ toàn bộ.</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Thuế giá trị gia tăng đầu vào phát sinh trong tháng, quý nào được kê khai, khấu trừ khi xác định số thuế phải nộp của tháng, quý đó, không phân biệt đã xuất dùng hay còn để trong kho.</w:t>
      </w:r>
    </w:p>
    <w:p>
      <w:pPr>
        <w:spacing w:after="120" w:line="360"/>
      </w:pPr>
      <w:r>
        <w:rPr>
          <w:rFonts w:ascii="Times New Roman" w:cs="Times New Roman" w:eastAsia="Times New Roman" w:hAnsi="Times New Roman"/>
          <w:sz w:val="26"/>
          <w:szCs w:val="26"/>
        </w:rPr>
        <w:t xml:space="preserve">Số thuế giá trị gia tăng đầu vào chưa được khấu trừ hết trong tháng, quý thì được khấu trừ vào tháng, quý tiếp theo.</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 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pPr>
        <w:spacing w:after="120" w:line="360"/>
      </w:pPr>
      <w:r>
        <w:rPr>
          <w:rFonts w:ascii="Times New Roman" w:cs="Times New Roman" w:eastAsia="Times New Roman" w:hAnsi="Times New Roman"/>
          <w:sz w:val="26"/>
          <w:szCs w:val="26"/>
        </w:rPr>
        <w:t xml:space="preserve">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Thuế giá trị gia tăng đầu vào của hàng hóa (kể cả hàng hóa mua ngoài hoặc hàng hóa do cơ sở kinh doanh tự sản xuất) mà cơ sở kinh doanh sử dụng để cho, biếu, tặng, khuyến mại, quảng cáo thì được khấu trừ.</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Số thuế giá trị gia tăng đã nộp theo Quyết định ấn định thuế của cơ quan hải quan được khấu trừ toàn bộ, trừ trường hợp cơ quan hải quan xử phạt về gian lận, trốn thuế.</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w:t>
      </w:r>
    </w:p>
    <w:p>
      <w:pPr>
        <w:spacing w:after="120" w:line="360"/>
      </w:pPr>
      <w:r>
        <w:rPr>
          <w:rFonts w:ascii="Times New Roman" w:cs="Times New Roman" w:eastAsia="Times New Roman" w:hAnsi="Times New Roman"/>
          <w:sz w:val="26"/>
          <w:szCs w:val="26"/>
        </w:rPr>
        <w:t xml:space="preserve">Cơ sở kinh doanh không được khấu trừ thuế giá trị gia tăng đầu vào đối với hóa đơn giá trị gia tăng mà Ban Quản lý dự án, chi nhánh đã kê khai, khấu trừ.</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Đối với hàng hóa, dịch vụ chuyển từ đối tượng không chịu thuế giá trị gia tăng sang đối tượng chịu thuế giá trị gia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Cơ sở kinh doanh không được khấu trừ đối với thuế giá trị gia tăng đầu vào của tài sản cố định, máy móc, thiết bị trong các trường hợp sau: a) Tài sản cố định, máy móc, thiết bị chuyên dùng phục vụ sản xuất sản phẩm quốc phòng, an ninh.</w:t>
      </w:r>
    </w:p>
    <w:p>
      <w:pPr>
        <w:spacing w:after="120" w:line="360"/>
      </w:pPr>
      <w:r>
        <w:rPr>
          <w:rFonts w:ascii="Times New Roman" w:cs="Times New Roman" w:eastAsia="Times New Roman" w:hAnsi="Times New Roman"/>
          <w:sz w:val="26"/>
          <w:szCs w:val="26"/>
        </w:rPr>
        <w:t xml:space="preserve">b) Tài sản cố định, máy móc, thiết bị của các tổ chức tín dụng, doanh nghiệp kinh doanh tái bảo hiểm, bảo hiểm nhân thọ, kinh doanh chứng khoán, cơ sở khám, chữa bệnh, cơ sở đào tạo.</w:t>
      </w:r>
    </w:p>
    <w:p>
      <w:pPr>
        <w:spacing w:after="120" w:line="360"/>
      </w:pPr>
      <w:r>
        <w:rPr>
          <w:rFonts w:ascii="Times New Roman" w:cs="Times New Roman" w:eastAsia="Times New Roman" w:hAnsi="Times New Roman"/>
          <w:sz w:val="26"/>
          <w:szCs w:val="26"/>
        </w:rPr>
        <w:t xml:space="preserve">c) Máy bay, trực thăng, tàu lượn dân dụng, du thuyền không sử dụng cho mục đích kinh doanh vận chuyển hàng hóa, hành khách, kinh doanh du lịch, khách sạn.</w:t>
      </w:r>
    </w:p>
    <w:p>
      <w:pPr>
        <w:spacing w:after="120" w:line="360"/>
      </w:pPr>
      <w:r>
        <w:rPr>
          <w:rFonts w:ascii="Times New Roman" w:cs="Times New Roman" w:eastAsia="Times New Roman" w:hAnsi="Times New Roman"/>
          <w:sz w:val="26"/>
          <w:szCs w:val="26"/>
        </w:rPr>
        <w:t xml:space="preserve">Việc không được khấu trừ quy định tại khoản này bao gồm cả thuế giá trị gia tăng đầu vào của hoạt động đi thuê và các chi phí sửa chữa tài sản cố định, máy móc, thiết bị (nếu có).</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Văn phòng Tổng công ty, tập đoàn không trực tiếp hoạt động kinh doanh và các đơn vị hành chính sự nghiệp trực thuộc như: bệnh viện, trạm xá, nhà nghỉ điều dưỡng, viện, trường đào tạo,...</w:t>
      </w:r>
    </w:p>
    <w:p>
      <w:pPr>
        <w:spacing w:after="120" w:line="360"/>
      </w:pPr>
      <w:r>
        <w:rPr>
          <w:rFonts w:ascii="Times New Roman" w:cs="Times New Roman" w:eastAsia="Times New Roman" w:hAnsi="Times New Roman"/>
          <w:sz w:val="26"/>
          <w:szCs w:val="26"/>
        </w:rPr>
        <w:t xml:space="preserve">không phải là người nộp thuế giá trị gia tăng thì không được khấu trừ thuế giá trị gia tăng đầu vào của hàng hóa, dịch vụ mua vào phục vụ cho hoạt động của các đơn vị này.</w:t>
      </w:r>
    </w:p>
    <w:p>
      <w:pPr>
        <w:spacing w:after="120" w:line="360"/>
      </w:pPr>
      <w:r>
        <w:rPr>
          <w:rFonts w:ascii="Times New Roman" w:cs="Times New Roman" w:eastAsia="Times New Roman" w:hAnsi="Times New Roman"/>
          <w:sz w:val="26"/>
          <w:szCs w:val="26"/>
        </w:rPr>
        <w:t xml:space="preserve">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Cơ sở kinh doanh không đáp ứng quy định về khấu trừ thuế tại Mục 1, Mục 2 Chương III Nghị định này và các hóa đơn, chứng từ được lập từ các hành vi bị nghiêm cấm tại Điều 13 Luật Thuế giá trị gia tăng thì không được khấu trừ thuế giá trị gia tăng.</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Khấu trừ thuế giá trị gia tăng đối với một số trường hợp đặc thù Việc khấu trừ thuế giá trị gia tăng trong một số trường hợp quy định tại điểm g khoản 1 Điều 14 Luật Thuế giá trị gia tăng thực hiện như sau: 1.</w:t>
      </w:r>
    </w:p>
    <w:p>
      <w:pPr>
        <w:spacing w:after="120" w:line="360"/>
      </w:pPr>
      <w:r>
        <w:rPr>
          <w:rFonts w:ascii="Times New Roman" w:cs="Times New Roman" w:eastAsia="Times New Roman" w:hAnsi="Times New Roman"/>
          <w:sz w:val="26"/>
          <w:szCs w:val="26"/>
        </w:rPr>
        <w:t xml:space="preserve">Đối với hàng hóa, dịch vụ hình thành tài sản cố định phục vụ cho người lao động: 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pPr>
        <w:spacing w:after="120" w:line="360"/>
      </w:pPr>
      <w:r>
        <w:rPr>
          <w:rFonts w:ascii="Times New Roman" w:cs="Times New Roman" w:eastAsia="Times New Roman" w:hAnsi="Times New Roman"/>
          <w:sz w:val="26"/>
          <w:szCs w:val="26"/>
        </w:rPr>
        <w:t xml:space="preserve">b) Trường hợp cơ sở kinh doanh thuê nhà ở cho công nhân làm việc trong các khu công nghiệp thì thuế giá trị gia tăng đối với khoản tiền thuê nhà được khấu trừ theo quy định.</w:t>
      </w:r>
    </w:p>
    <w:p>
      <w:pPr>
        <w:spacing w:after="120" w:line="360"/>
      </w:pPr>
      <w:r>
        <w:rPr>
          <w:rFonts w:ascii="Times New Roman" w:cs="Times New Roman" w:eastAsia="Times New Roman" w:hAnsi="Times New Roman"/>
          <w:sz w:val="26"/>
          <w:szCs w:val="26"/>
        </w:rPr>
        <w:t xml:space="preserve">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w:t>
      </w:r>
    </w:p>
    <w:p>
      <w:pPr>
        <w:spacing w:after="120" w:line="360"/>
      </w:pPr>
      <w:r>
        <w:rPr>
          <w:rFonts w:ascii="Times New Roman" w:cs="Times New Roman" w:eastAsia="Times New Roman" w:hAnsi="Times New Roman"/>
          <w:sz w:val="26"/>
          <w:szCs w:val="26"/>
        </w:rPr>
        <w:t xml:space="preserve">Nhà ở cho công nhân quy định tại điểm này phải đáp ứng điều kiện nhà ở cho công nhân trong khu công nghiệp theo quy định của pháp luật về nhà ở.</w:t>
      </w:r>
    </w:p>
    <w:p>
      <w:pPr>
        <w:spacing w:after="120" w:line="360"/>
      </w:pPr>
      <w:r>
        <w:rPr>
          <w:rFonts w:ascii="Times New Roman" w:cs="Times New Roman" w:eastAsia="Times New Roman" w:hAnsi="Times New Roman"/>
          <w:sz w:val="26"/>
          <w:szCs w:val="26"/>
        </w:rPr>
        <w:t xml:space="preserve">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w:t>
      </w:r>
    </w:p>
    <w:p>
      <w:pPr>
        <w:spacing w:after="120" w:line="360"/>
      </w:pPr>
      <w:r>
        <w:rPr>
          <w:rFonts w:ascii="Times New Roman" w:cs="Times New Roman" w:eastAsia="Times New Roman" w:hAnsi="Times New Roman"/>
          <w:sz w:val="26"/>
          <w:szCs w:val="26"/>
        </w:rPr>
        <w:t xml:space="preserve">Bên nhận vốn góp được khấu trừ thuế giá trị gia tăng ghi trên hóa đơn mua tài sản của bên góp vốn.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 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pPr>
        <w:spacing w:after="120" w:line="360"/>
      </w:pPr>
      <w:r>
        <w:rPr>
          <w:rFonts w:ascii="Times New Roman" w:cs="Times New Roman" w:eastAsia="Times New Roman" w:hAnsi="Times New Roman"/>
          <w:sz w:val="26"/>
          <w:szCs w:val="26"/>
        </w:rPr>
        <w:t xml:space="preserve">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spacing w:after="120" w:line="360"/>
      </w:pPr>
      <w:r>
        <w:rPr>
          <w:rFonts w:ascii="Times New Roman" w:cs="Times New Roman" w:eastAsia="Times New Roman" w:hAnsi="Times New Roman"/>
          <w:sz w:val="26"/>
          <w:szCs w:val="26"/>
        </w:rPr>
        <w:t xml:space="preserve">Mục 2.</w:t>
      </w:r>
    </w:p>
    <w:p>
      <w:pPr>
        <w:spacing w:after="120" w:line="360"/>
      </w:pPr>
      <w:r>
        <w:rPr>
          <w:rFonts w:ascii="Times New Roman" w:cs="Times New Roman" w:eastAsia="Times New Roman" w:hAnsi="Times New Roman"/>
          <w:sz w:val="26"/>
          <w:szCs w:val="26"/>
        </w:rPr>
        <w:t xml:space="preserve">ĐIỀU KIỆN KHẤU TRỪ THUẾ GIÁ TRỊ GIA TĂNG ĐẦU VÀO Điều 25.</w:t>
      </w:r>
    </w:p>
    <w:p>
      <w:pPr>
        <w:spacing w:after="120" w:line="360"/>
      </w:pPr>
      <w:r>
        <w:rPr>
          <w:rFonts w:ascii="Times New Roman" w:cs="Times New Roman" w:eastAsia="Times New Roman" w:hAnsi="Times New Roman"/>
          <w:sz w:val="26"/>
          <w:szCs w:val="26"/>
        </w:rPr>
        <w:t xml:space="preserve">Hóa đơn, chứng từ nộp thuế 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điểm a khoản 2 Điều 14 Luật Thuế giá trị gia tăng (bao gồm cả chứng từ nộp thuế giá trị gia tăng theo tỷ lệ % nhân với doanh thu thay cho phía nước ngoài).</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Chứng từ thanh toán không dùng tiền mặt Cơ sở kinh doanh phải có chứng từ thanh toán không dùng tiền mặt đối với hàng hóa, dịch vụ mua vào (bao gồm cả hàng hóa nhập khẩu) từ 05 triệu đồng trở lên đã bao gồm thuế giá trị gia tăng.</w:t>
      </w:r>
    </w:p>
    <w:p>
      <w:pPr>
        <w:spacing w:after="120" w:line="360"/>
      </w:pPr>
      <w:r>
        <w:rPr>
          <w:rFonts w:ascii="Times New Roman" w:cs="Times New Roman" w:eastAsia="Times New Roman" w:hAnsi="Times New Roman"/>
          <w:sz w:val="26"/>
          <w:szCs w:val="26"/>
        </w:rPr>
        <w:t xml:space="preserve">Trong đó: 1.</w:t>
      </w:r>
    </w:p>
    <w:p>
      <w:pPr>
        <w:spacing w:after="120" w:line="360"/>
      </w:pPr>
      <w:r>
        <w:rPr>
          <w:rFonts w:ascii="Times New Roman" w:cs="Times New Roman" w:eastAsia="Times New Roman" w:hAnsi="Times New Roman"/>
          <w:sz w:val="26"/>
          <w:szCs w:val="26"/>
        </w:rPr>
        <w:t xml:space="preserve">Chứng từ thanh toán không dùng tiền mặt là chứng từ chứng minh việc thanh toán không dùng tiền mặt theo quy định của Nghị định số 52/2024/NĐ-CP ngày 15 tháng 5 năm 2024 của Chính phủ về thanh toán không dùng tiền mặt, trừ các chứng từ bên mua nộp tiền mặt vào tài khoản của bên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Một số trường hợp đặc thù theo quy định tại điểm b khoản 2 Điều 14 Luật Thuế giá trị gia tăng bao gồm: 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w:t>
      </w:r>
    </w:p>
    <w:p>
      <w:pPr>
        <w:spacing w:after="120" w:line="360"/>
      </w:pPr>
      <w:r>
        <w:rPr>
          <w:rFonts w:ascii="Times New Roman" w:cs="Times New Roman" w:eastAsia="Times New Roman" w:hAnsi="Times New Roman"/>
          <w:sz w:val="26"/>
          <w:szCs w:val="26"/>
        </w:rPr>
        <w:t xml:space="preserve">Trường hợp bù trừ công nợ qua bên thứ ba phải có biên bản bù trừ công nợ của ba bên làm căn cứ khấu trừ thuế.</w:t>
      </w:r>
    </w:p>
    <w:p>
      <w:pPr>
        <w:spacing w:after="120" w:line="360"/>
      </w:pPr>
      <w:r>
        <w:rPr>
          <w:rFonts w:ascii="Times New Roman" w:cs="Times New Roman" w:eastAsia="Times New Roman" w:hAnsi="Times New Roman"/>
          <w:sz w:val="26"/>
          <w:szCs w:val="26"/>
        </w:rPr>
        <w:t xml:space="preserve">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pPr>
        <w:spacing w:after="120" w:line="360"/>
      </w:pPr>
      <w:r>
        <w:rPr>
          <w:rFonts w:ascii="Times New Roman" w:cs="Times New Roman" w:eastAsia="Times New Roman" w:hAnsi="Times New Roman"/>
          <w:sz w:val="26"/>
          <w:szCs w:val="26"/>
        </w:rPr>
        <w:t xml:space="preserve">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pPr>
        <w:spacing w:after="120" w:line="360"/>
      </w:pPr>
      <w:r>
        <w:rPr>
          <w:rFonts w:ascii="Times New Roman" w:cs="Times New Roman" w:eastAsia="Times New Roman" w:hAnsi="Times New Roman"/>
          <w:sz w:val="26"/>
          <w:szCs w:val="26"/>
        </w:rPr>
        <w:t xml:space="preserve">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pPr>
        <w:spacing w:after="120" w:line="360"/>
      </w:pPr>
      <w:r>
        <w:rPr>
          <w:rFonts w:ascii="Times New Roman" w:cs="Times New Roman" w:eastAsia="Times New Roman" w:hAnsi="Times New Roman"/>
          <w:sz w:val="26"/>
          <w:szCs w:val="26"/>
        </w:rPr>
        <w:t xml:space="preserve">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pPr>
        <w:spacing w:after="120" w:line="360"/>
      </w:pPr>
      <w:r>
        <w:rPr>
          <w:rFonts w:ascii="Times New Roman" w:cs="Times New Roman" w:eastAsia="Times New Roman" w:hAnsi="Times New Roman"/>
          <w:sz w:val="26"/>
          <w:szCs w:val="26"/>
        </w:rPr>
        <w:t xml:space="preserve">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pPr>
        <w:spacing w:after="120" w:line="360"/>
      </w:pPr>
      <w:r>
        <w:rPr>
          <w:rFonts w:ascii="Times New Roman" w:cs="Times New Roman" w:eastAsia="Times New Roman" w:hAnsi="Times New Roman"/>
          <w:sz w:val="26"/>
          <w:szCs w:val="26"/>
        </w:rPr>
        <w:t xml:space="preserve">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w:t>
      </w:r>
    </w:p>
    <w:p>
      <w:pPr>
        <w:spacing w:after="120" w:line="360"/>
      </w:pPr>
      <w:r>
        <w:rPr>
          <w:rFonts w:ascii="Times New Roman" w:cs="Times New Roman" w:eastAsia="Times New Roman" w:hAnsi="Times New Roman"/>
          <w:sz w:val="26"/>
          <w:szCs w:val="26"/>
        </w:rPr>
        <w:t xml:space="preserve">Trường hợp chưa có chứng từ thanh toán không dùng tiền mặt do chưa đến thời điểm thanh toán theo hợp đồng, phụ lục hợp đồng thì cơ sở kinh doanh vẫn được khấu trừ thuế giá trị gia tăng đầu vào.</w:t>
      </w:r>
    </w:p>
    <w:p>
      <w:pPr>
        <w:spacing w:after="120" w:line="360"/>
      </w:pPr>
      <w:r>
        <w:rPr>
          <w:rFonts w:ascii="Times New Roman" w:cs="Times New Roman" w:eastAsia="Times New Roman" w:hAnsi="Times New Roman"/>
          <w:sz w:val="26"/>
          <w:szCs w:val="26"/>
        </w:rPr>
        <w:t xml:space="preserve">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pPr>
        <w:spacing w:after="120" w:line="360"/>
      </w:pPr>
      <w:r>
        <w:rPr>
          <w:rFonts w:ascii="Times New Roman" w:cs="Times New Roman" w:eastAsia="Times New Roman" w:hAnsi="Times New Roman"/>
          <w:sz w:val="26"/>
          <w:szCs w:val="26"/>
        </w:rPr>
        <w:t xml:space="preserve">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pPr>
        <w:spacing w:after="120" w:line="360"/>
      </w:pPr>
      <w:r>
        <w:rPr>
          <w:rFonts w:ascii="Times New Roman" w:cs="Times New Roman" w:eastAsia="Times New Roman" w:hAnsi="Times New Roman"/>
          <w:sz w:val="26"/>
          <w:szCs w:val="26"/>
        </w:rPr>
        <w:t xml:space="preserve">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Điều kiện khấu trừ thuế giá trị gia tăng đầu vào đối với hàng hóa, dịch vụ xuất khẩu Đối với hàng hóa, dịch vụ xuất khẩu, ngoài các điều kiện quy định tại Điều 25, Điều 26 Nghị định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w:t>
      </w:r>
    </w:p>
    <w:p>
      <w:pPr>
        <w:spacing w:after="120" w:line="360"/>
      </w:pPr>
      <w:r>
        <w:rPr>
          <w:rFonts w:ascii="Times New Roman" w:cs="Times New Roman" w:eastAsia="Times New Roman" w:hAnsi="Times New Roman"/>
          <w:sz w:val="26"/>
          <w:szCs w:val="26"/>
        </w:rPr>
        <w:t xml:space="preserve">Trong đó: 1.</w:t>
      </w:r>
    </w:p>
    <w:p>
      <w:pPr>
        <w:spacing w:after="120" w:line="360"/>
      </w:pPr>
      <w:r>
        <w:rPr>
          <w:rFonts w:ascii="Times New Roman" w:cs="Times New Roman" w:eastAsia="Times New Roman" w:hAnsi="Times New Roman"/>
          <w:sz w:val="26"/>
          <w:szCs w:val="26"/>
        </w:rPr>
        <w:t xml:space="preserve">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tờ khai hải quan hàng hóa xuất khẩu: tờ khai đã hoàn thành thủ tục hải quan theo quy định của pháp luật về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w:t>
      </w:r>
    </w:p>
    <w:p>
      <w:pPr>
        <w:spacing w:after="120" w:line="360"/>
      </w:pPr>
      <w:r>
        <w:rPr>
          <w:rFonts w:ascii="Times New Roman" w:cs="Times New Roman" w:eastAsia="Times New Roman" w:hAnsi="Times New Roman"/>
          <w:sz w:val="26"/>
          <w:szCs w:val="26"/>
        </w:rPr>
        <w:t xml:space="preserve">Chứng từ thanh toán tiền là giấy báo có của ngân hàng bên xuất khẩu về số tiền đã nhận được từ tài khoản của ngân hàng bên nhập khẩu.</w:t>
      </w:r>
    </w:p>
    <w:p>
      <w:pPr>
        <w:spacing w:after="120" w:line="360"/>
      </w:pPr>
      <w:r>
        <w:rPr>
          <w:rFonts w:ascii="Times New Roman" w:cs="Times New Roman" w:eastAsia="Times New Roman" w:hAnsi="Times New Roman"/>
          <w:sz w:val="26"/>
          <w:szCs w:val="26"/>
        </w:rPr>
        <w:t xml:space="preserve">Trường hợp thanh toán trả chậm, phải có thỏa thuận ghi trong hợp đồng, phụ lục hợp đồng xuất khẩu, đến thời hạn thanh toán bên xuất khẩu phải có chứng từ thanh toán không dùng tiền mặt.</w:t>
      </w:r>
    </w:p>
    <w:p>
      <w:pPr>
        <w:spacing w:after="120" w:line="360"/>
      </w:pPr>
      <w:r>
        <w:rPr>
          <w:rFonts w:ascii="Times New Roman" w:cs="Times New Roman" w:eastAsia="Times New Roman" w:hAnsi="Times New Roman"/>
          <w:sz w:val="26"/>
          <w:szCs w:val="26"/>
        </w:rPr>
        <w:t xml:space="preserve">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w:t>
      </w:r>
    </w:p>
    <w:p>
      <w:pPr>
        <w:spacing w:after="120" w:line="360"/>
      </w:pPr>
      <w:r>
        <w:rPr>
          <w:rFonts w:ascii="Times New Roman" w:cs="Times New Roman" w:eastAsia="Times New Roman" w:hAnsi="Times New Roman"/>
          <w:sz w:val="26"/>
          <w:szCs w:val="26"/>
        </w:rPr>
        <w:t xml:space="preserve">Trường hợp bên nước ngoài thanh toán trực tiếp cho bên ủy thác xuất khẩu thì bên ủy thác phải có chứng từ thanh toán không dùng tiền mặt và việc thanh toán này phải được quy định trong hợp đồng.</w:t>
      </w:r>
    </w:p>
    <w:p>
      <w:pPr>
        <w:spacing w:after="120" w:line="360"/>
      </w:pPr>
      <w:r>
        <w:rPr>
          <w:rFonts w:ascii="Times New Roman" w:cs="Times New Roman" w:eastAsia="Times New Roman" w:hAnsi="Times New Roman"/>
          <w:sz w:val="26"/>
          <w:szCs w:val="26"/>
        </w:rPr>
        <w:t xml:space="preserve">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w:t>
      </w:r>
    </w:p>
    <w:p>
      <w:pPr>
        <w:spacing w:after="120" w:line="360"/>
      </w:pPr>
      <w:r>
        <w:rPr>
          <w:rFonts w:ascii="Times New Roman" w:cs="Times New Roman" w:eastAsia="Times New Roman" w:hAnsi="Times New Roman"/>
          <w:sz w:val="26"/>
          <w:szCs w:val="26"/>
        </w:rPr>
        <w:t xml:space="preserve">Trừ một số trường hợp không phải đáp ứng điều kiện chứng từ thanh toán không dùng tiền mặt như sau: 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w:t>
      </w:r>
    </w:p>
    <w:p>
      <w:pPr>
        <w:spacing w:after="120" w:line="360"/>
      </w:pPr>
      <w:r>
        <w:rPr>
          <w:rFonts w:ascii="Times New Roman" w:cs="Times New Roman" w:eastAsia="Times New Roman" w:hAnsi="Times New Roman"/>
          <w:sz w:val="26"/>
          <w:szCs w:val="26"/>
        </w:rPr>
        <w:t xml:space="preserve">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pPr>
        <w:spacing w:after="120" w:line="360"/>
      </w:pPr>
      <w:r>
        <w:rPr>
          <w:rFonts w:ascii="Times New Roman" w:cs="Times New Roman" w:eastAsia="Times New Roman" w:hAnsi="Times New Roman"/>
          <w:sz w:val="26"/>
          <w:szCs w:val="26"/>
        </w:rPr>
        <w:t xml:space="preserve">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pPr>
        <w:spacing w:after="120" w:line="360"/>
      </w:pPr>
      <w:r>
        <w:rPr>
          <w:rFonts w:ascii="Times New Roman" w:cs="Times New Roman" w:eastAsia="Times New Roman" w:hAnsi="Times New Roman"/>
          <w:sz w:val="26"/>
          <w:szCs w:val="26"/>
        </w:rPr>
        <w:t xml:space="preserve">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pPr>
        <w:spacing w:after="120" w:line="360"/>
      </w:pPr>
      <w:r>
        <w:rPr>
          <w:rFonts w:ascii="Times New Roman" w:cs="Times New Roman" w:eastAsia="Times New Roman" w:hAnsi="Times New Roman"/>
          <w:sz w:val="26"/>
          <w:szCs w:val="26"/>
        </w:rPr>
        <w:t xml:space="preserve">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pPr>
        <w:spacing w:after="120" w:line="360"/>
      </w:pPr>
      <w:r>
        <w:rPr>
          <w:rFonts w:ascii="Times New Roman" w:cs="Times New Roman" w:eastAsia="Times New Roman" w:hAnsi="Times New Roman"/>
          <w:sz w:val="26"/>
          <w:szCs w:val="26"/>
        </w:rPr>
        <w:t xml:space="preserve">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pPr>
        <w:spacing w:after="120" w:line="360"/>
      </w:pPr>
      <w:r>
        <w:rPr>
          <w:rFonts w:ascii="Times New Roman" w:cs="Times New Roman" w:eastAsia="Times New Roman" w:hAnsi="Times New Roman"/>
          <w:sz w:val="26"/>
          <w:szCs w:val="26"/>
        </w:rPr>
        <w:t xml:space="preserve">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pPr>
        <w:spacing w:after="120" w:line="360"/>
      </w:pPr>
      <w:r>
        <w:rPr>
          <w:rFonts w:ascii="Times New Roman" w:cs="Times New Roman" w:eastAsia="Times New Roman" w:hAnsi="Times New Roman"/>
          <w:sz w:val="26"/>
          <w:szCs w:val="26"/>
        </w:rPr>
        <w:t xml:space="preserve">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w:t>
      </w:r>
    </w:p>
    <w:p>
      <w:pPr>
        <w:spacing w:after="120" w:line="360"/>
      </w:pPr>
      <w:r>
        <w:rPr>
          <w:rFonts w:ascii="Times New Roman" w:cs="Times New Roman" w:eastAsia="Times New Roman" w:hAnsi="Times New Roman"/>
          <w:sz w:val="26"/>
          <w:szCs w:val="26"/>
        </w:rPr>
        <w:t xml:space="preserve">Chứng từ thanh toán là giấy báo có của ngân hàng bên xuất khẩu về số tiền đã nhận được từ tài khoản vãng lai của bên nước ngoài đã ký hợp đồng.</w:t>
      </w:r>
    </w:p>
    <w:p>
      <w:pPr>
        <w:spacing w:after="120" w:line="360"/>
      </w:pPr>
      <w:r>
        <w:rPr>
          <w:rFonts w:ascii="Times New Roman" w:cs="Times New Roman" w:eastAsia="Times New Roman" w:hAnsi="Times New Roman"/>
          <w:sz w:val="26"/>
          <w:szCs w:val="26"/>
        </w:rPr>
        <w:t xml:space="preserve">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w:t>
      </w:r>
    </w:p>
    <w:p>
      <w:pPr>
        <w:spacing w:after="120" w:line="360"/>
      </w:pPr>
      <w:r>
        <w:rPr>
          <w:rFonts w:ascii="Times New Roman" w:cs="Times New Roman" w:eastAsia="Times New Roman" w:hAnsi="Times New Roman"/>
          <w:sz w:val="26"/>
          <w:szCs w:val="26"/>
        </w:rPr>
        <w:t xml:space="preserve">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pPr>
        <w:spacing w:after="120" w:line="360"/>
      </w:pPr>
      <w:r>
        <w:rPr>
          <w:rFonts w:ascii="Times New Roman" w:cs="Times New Roman" w:eastAsia="Times New Roman" w:hAnsi="Times New Roman"/>
          <w:sz w:val="26"/>
          <w:szCs w:val="26"/>
        </w:rPr>
        <w:t xml:space="preserve">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pPr>
        <w:spacing w:after="120" w:line="360"/>
      </w:pPr>
      <w:r>
        <w:rPr>
          <w:rFonts w:ascii="Times New Roman" w:cs="Times New Roman" w:eastAsia="Times New Roman" w:hAnsi="Times New Roman"/>
          <w:sz w:val="26"/>
          <w:szCs w:val="26"/>
        </w:rPr>
        <w:t xml:space="preserve">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pPr>
        <w:spacing w:after="120" w:line="360"/>
      </w:pPr>
      <w:r>
        <w:rPr>
          <w:rFonts w:ascii="Times New Roman" w:cs="Times New Roman" w:eastAsia="Times New Roman" w:hAnsi="Times New Roman"/>
          <w:sz w:val="26"/>
          <w:szCs w:val="26"/>
        </w:rPr>
        <w:t xml:space="preserve">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pPr>
        <w:spacing w:after="120" w:line="360"/>
      </w:pPr>
      <w:r>
        <w:rPr>
          <w:rFonts w:ascii="Times New Roman" w:cs="Times New Roman" w:eastAsia="Times New Roman" w:hAnsi="Times New Roman"/>
          <w:sz w:val="26"/>
          <w:szCs w:val="26"/>
        </w:rPr>
        <w:t xml:space="preserve">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pPr>
        <w:spacing w:after="120" w:line="360"/>
      </w:pPr>
      <w:r>
        <w:rPr>
          <w:rFonts w:ascii="Times New Roman" w:cs="Times New Roman" w:eastAsia="Times New Roman" w:hAnsi="Times New Roman"/>
          <w:sz w:val="26"/>
          <w:szCs w:val="26"/>
        </w:rPr>
        <w:t xml:space="preserve">n) Trường hợp xuất khẩu lao động mà cơ sở kinh doanh xuất khẩu lao động thu tiền trực tiếp của người lao động thì phải có chứng từ thu tiền của người lao động.</w:t>
      </w:r>
    </w:p>
    <w:p>
      <w:pPr>
        <w:spacing w:after="120" w:line="360"/>
      </w:pPr>
      <w:r>
        <w:rPr>
          <w:rFonts w:ascii="Times New Roman" w:cs="Times New Roman" w:eastAsia="Times New Roman" w:hAnsi="Times New Roman"/>
          <w:sz w:val="26"/>
          <w:szCs w:val="26"/>
        </w:rPr>
        <w:t xml:space="preserve">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pPr>
        <w:spacing w:after="120" w:line="360"/>
      </w:pPr>
      <w:r>
        <w:rPr>
          <w:rFonts w:ascii="Times New Roman" w:cs="Times New Roman" w:eastAsia="Times New Roman" w:hAnsi="Times New Roman"/>
          <w:sz w:val="26"/>
          <w:szCs w:val="26"/>
        </w:rPr>
        <w:t xml:space="preserve">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w:t>
      </w:r>
    </w:p>
    <w:p>
      <w:pPr>
        <w:spacing w:after="120" w:line="360"/>
      </w:pPr>
      <w:r>
        <w:rPr>
          <w:rFonts w:ascii="Times New Roman" w:cs="Times New Roman" w:eastAsia="Times New Roman" w:hAnsi="Times New Roman"/>
          <w:sz w:val="26"/>
          <w:szCs w:val="26"/>
        </w:rPr>
        <w:t xml:space="preserve">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pPr>
        <w:spacing w:after="120" w:line="360"/>
      </w:pPr>
      <w:r>
        <w:rPr>
          <w:rFonts w:ascii="Times New Roman" w:cs="Times New Roman" w:eastAsia="Times New Roman" w:hAnsi="Times New Roman"/>
          <w:sz w:val="26"/>
          <w:szCs w:val="26"/>
        </w:rPr>
        <w:t xml:space="preserve">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pPr>
        <w:spacing w:after="120" w:line="360"/>
      </w:pPr>
      <w:r>
        <w:rPr>
          <w:rFonts w:ascii="Times New Roman" w:cs="Times New Roman" w:eastAsia="Times New Roman" w:hAnsi="Times New Roman"/>
          <w:sz w:val="26"/>
          <w:szCs w:val="26"/>
        </w:rPr>
        <w:t xml:space="preserve">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pPr>
        <w:spacing w:after="120" w:line="360"/>
      </w:pPr>
      <w:r>
        <w:rPr>
          <w:rFonts w:ascii="Times New Roman" w:cs="Times New Roman" w:eastAsia="Times New Roman" w:hAnsi="Times New Roman"/>
          <w:sz w:val="26"/>
          <w:szCs w:val="26"/>
        </w:rPr>
        <w:t xml:space="preserve">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w:t>
      </w:r>
    </w:p>
    <w:p>
      <w:pPr>
        <w:spacing w:after="120" w:line="360"/>
      </w:pPr>
      <w:r>
        <w:rPr>
          <w:rFonts w:ascii="Times New Roman" w:cs="Times New Roman" w:eastAsia="Times New Roman" w:hAnsi="Times New Roman"/>
          <w:sz w:val="26"/>
          <w:szCs w:val="26"/>
        </w:rPr>
        <w:t xml:space="preserve">Trường hợp bên nhập khẩu hàng hóa phải đứng ra làm thủ tục tiêu hủy tại nước ngoài thì biên bản tiêu hủy (hoặc giấy tờ xác nhận việc tiêu hủy) ghi tên bên nhập khẩu hàng hóa.</w:t>
      </w:r>
    </w:p>
    <w:p>
      <w:pPr>
        <w:spacing w:after="120" w:line="360"/>
      </w:pPr>
      <w:r>
        <w:rPr>
          <w:rFonts w:ascii="Times New Roman" w:cs="Times New Roman" w:eastAsia="Times New Roman" w:hAnsi="Times New Roman"/>
          <w:sz w:val="26"/>
          <w:szCs w:val="26"/>
        </w:rPr>
        <w:t xml:space="preserve">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w:t>
      </w:r>
    </w:p>
    <w:p>
      <w:pPr>
        <w:spacing w:after="120" w:line="360"/>
      </w:pPr>
      <w:r>
        <w:rPr>
          <w:rFonts w:ascii="Times New Roman" w:cs="Times New Roman" w:eastAsia="Times New Roman" w:hAnsi="Times New Roman"/>
          <w:sz w:val="26"/>
          <w:szCs w:val="26"/>
        </w:rPr>
        <w:t xml:space="preserve">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pPr>
        <w:spacing w:after="120" w:line="360"/>
      </w:pPr>
      <w:r>
        <w:rPr>
          <w:rFonts w:ascii="Times New Roman" w:cs="Times New Roman" w:eastAsia="Times New Roman" w:hAnsi="Times New Roman"/>
          <w:sz w:val="26"/>
          <w:szCs w:val="26"/>
        </w:rPr>
        <w:t xml:space="preserve">u) Bản sao các loại giấy tờ quy định tại khoản này phải có xác nhận sao y bản chính của cơ sở kinh doanh xuất khẩu hàng hóa.</w:t>
      </w:r>
    </w:p>
    <w:p>
      <w:pPr>
        <w:spacing w:after="120" w:line="360"/>
      </w:pPr>
      <w:r>
        <w:rPr>
          <w:rFonts w:ascii="Times New Roman" w:cs="Times New Roman" w:eastAsia="Times New Roman" w:hAnsi="Times New Roman"/>
          <w:sz w:val="26"/>
          <w:szCs w:val="26"/>
        </w:rPr>
        <w:t xml:space="preserve">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w:t>
      </w:r>
    </w:p>
    <w:p>
      <w:pPr>
        <w:spacing w:after="120" w:line="360"/>
      </w:pPr>
      <w:r>
        <w:rPr>
          <w:rFonts w:ascii="Times New Roman" w:cs="Times New Roman" w:eastAsia="Times New Roman" w:hAnsi="Times New Roman"/>
          <w:sz w:val="26"/>
          <w:szCs w:val="26"/>
        </w:rPr>
        <w:t xml:space="preserve">Trường hợp các bên liên quan phát hành, sử dụng và lưu trữ chứng từ dưới dạng điện tử thì phải có bản in bằng giấy.</w:t>
      </w:r>
    </w:p>
    <w:p>
      <w:pPr>
        <w:spacing w:after="120" w:line="360"/>
      </w:pPr>
      <w:r>
        <w:rPr>
          <w:rFonts w:ascii="Times New Roman" w:cs="Times New Roman" w:eastAsia="Times New Roman" w:hAnsi="Times New Roman"/>
          <w:sz w:val="26"/>
          <w:szCs w:val="26"/>
        </w:rPr>
        <w:t xml:space="preserve">Cơ sở kinh doanh xuất khẩu hàng hóa tự chịu hoàn toàn trách nhiệm về tính chính xác của các loại giấy tờ thay thế cho chứng từ thanh toán không dùng tiền mặt cho các trường hợp quy định tại khoản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hóa đơn bán hàng hóa, cung cấp dịch vụ: hóa đơn thương mại hoặc hóa đơn giá trị gia tăng theo quy định của pháp luật về hóa đơn, chứng từ.</w:t>
      </w:r>
    </w:p>
    <w:p>
      <w:pPr>
        <w:spacing w:after="120" w:line="360"/>
      </w:pPr>
      <w:r>
        <w:rPr>
          <w:rFonts w:ascii="Times New Roman" w:cs="Times New Roman" w:eastAsia="Times New Roman" w:hAnsi="Times New Roman"/>
          <w:sz w:val="26"/>
          <w:szCs w:val="26"/>
        </w:rPr>
        <w:t xml:space="preserve">Điều 28.</w:t>
      </w:r>
    </w:p>
    <w:p>
      <w:pPr>
        <w:spacing w:after="120" w:line="360"/>
      </w:pPr>
      <w:r>
        <w:rPr>
          <w:rFonts w:ascii="Times New Roman" w:cs="Times New Roman" w:eastAsia="Times New Roman" w:hAnsi="Times New Roman"/>
          <w:sz w:val="26"/>
          <w:szCs w:val="26"/>
        </w:rPr>
        <w:t xml:space="preserve">Điều kiện khấu trừ thuế giá trị gia tăng đầu vào đối với một số trường hợp hàng hóa, dịch vụ đặc thù 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Điều 25, Điều 26 Nghị định này, cơ sở xuất khẩu hàng hóa phải có tài liệu chứng minh việc đã xuất bán hàng hóa ở ngoài Việt Nam.</w:t>
      </w:r>
    </w:p>
    <w:p>
      <w:pPr>
        <w:spacing w:after="120" w:line="360"/>
      </w:pPr>
      <w:r>
        <w:rPr>
          <w:rFonts w:ascii="Times New Roman" w:cs="Times New Roman" w:eastAsia="Times New Roman" w:hAnsi="Times New Roman"/>
          <w:sz w:val="26"/>
          <w:szCs w:val="26"/>
        </w:rPr>
        <w:t xml:space="preserve">Trong đó: 1.</w:t>
      </w:r>
    </w:p>
    <w:p>
      <w:pPr>
        <w:spacing w:after="120" w:line="360"/>
      </w:pPr>
      <w:r>
        <w:rPr>
          <w:rFonts w:ascii="Times New Roman" w:cs="Times New Roman" w:eastAsia="Times New Roman" w:hAnsi="Times New Roman"/>
          <w:sz w:val="26"/>
          <w:szCs w:val="26"/>
        </w:rPr>
        <w:t xml:space="preserve">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Phụ lục III ban hành kèm theo Nghị định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sản phẩm nội dung thông tin số cung cấp cho bên nước ngoài: cơ sở kinh doanh cung cấp dịch vụ phải có hồ sơ, tài liệu chứng minh dịch vụ được tiêu dùng ở ngoài Việt Nam theo quy định tại điểm d khoản 3 Điều 17 Nghị định này và có chứng từ thanh toán không dùng tiền mặt.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w:t>
      </w:r>
    </w:p>
    <w:p>
      <w:pPr>
        <w:spacing w:after="120" w:line="360"/>
      </w:pPr>
      <w:r>
        <w:rPr>
          <w:rFonts w:ascii="Times New Roman" w:cs="Times New Roman" w:eastAsia="Times New Roman" w:hAnsi="Times New Roman"/>
          <w:sz w:val="26"/>
          <w:szCs w:val="26"/>
        </w:rPr>
        <w:t xml:space="preserve">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w:t>
      </w:r>
    </w:p>
    <w:p>
      <w:pPr>
        <w:spacing w:after="120" w:line="360"/>
      </w:pPr>
      <w:r>
        <w:rPr>
          <w:rFonts w:ascii="Times New Roman" w:cs="Times New Roman" w:eastAsia="Times New Roman" w:hAnsi="Times New Roman"/>
          <w:sz w:val="26"/>
          <w:szCs w:val="26"/>
        </w:rPr>
        <w:t xml:space="preserve">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pPr>
        <w:spacing w:after="120" w:line="360"/>
      </w:pPr>
      <w:r>
        <w:rPr>
          <w:rFonts w:ascii="Times New Roman" w:cs="Times New Roman" w:eastAsia="Times New Roman" w:hAnsi="Times New Roman"/>
          <w:sz w:val="26"/>
          <w:szCs w:val="26"/>
        </w:rPr>
        <w:t xml:space="preserve">Mục 3.</w:t>
      </w:r>
    </w:p>
    <w:p>
      <w:pPr>
        <w:spacing w:after="120" w:line="360"/>
      </w:pPr>
      <w:r>
        <w:rPr>
          <w:rFonts w:ascii="Times New Roman" w:cs="Times New Roman" w:eastAsia="Times New Roman" w:hAnsi="Times New Roman"/>
          <w:sz w:val="26"/>
          <w:szCs w:val="26"/>
        </w:rPr>
        <w:t xml:space="preserve">HOÀN THUẾ GIÁ TRỊ GIA TĂNG Điều 29.</w:t>
      </w:r>
    </w:p>
    <w:p>
      <w:pPr>
        <w:spacing w:after="120" w:line="360"/>
      </w:pPr>
      <w:r>
        <w:rPr>
          <w:rFonts w:ascii="Times New Roman" w:cs="Times New Roman" w:eastAsia="Times New Roman" w:hAnsi="Times New Roman"/>
          <w:sz w:val="26"/>
          <w:szCs w:val="26"/>
        </w:rPr>
        <w:t xml:space="preserve">Hoàn thuế đối với xuất khẩu 1.</w:t>
      </w:r>
    </w:p>
    <w:p>
      <w:pPr>
        <w:spacing w:after="120" w:line="360"/>
      </w:pPr>
      <w:r>
        <w:rPr>
          <w:rFonts w:ascii="Times New Roman" w:cs="Times New Roman" w:eastAsia="Times New Roman" w:hAnsi="Times New Roman"/>
          <w:sz w:val="26"/>
          <w:szCs w:val="26"/>
        </w:rPr>
        <w:t xml:space="preserve">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w:t>
      </w:r>
    </w:p>
    <w:p>
      <w:pPr>
        <w:spacing w:after="120" w:line="360"/>
      </w:pPr>
      <w:r>
        <w:rPr>
          <w:rFonts w:ascii="Times New Roman" w:cs="Times New Roman" w:eastAsia="Times New Roman" w:hAnsi="Times New Roman"/>
          <w:sz w:val="26"/>
          <w:szCs w:val="26"/>
        </w:rPr>
        <w:t xml:space="preserve">Trong đó: 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pPr>
        <w:spacing w:after="120" w:line="360"/>
      </w:pPr>
      <w:r>
        <w:rPr>
          <w:rFonts w:ascii="Times New Roman" w:cs="Times New Roman" w:eastAsia="Times New Roman" w:hAnsi="Times New Roman"/>
          <w:sz w:val="26"/>
          <w:szCs w:val="26"/>
        </w:rPr>
        <w:t xml:space="preserve">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w:t>
      </w:r>
    </w:p>
    <w:p>
      <w:pPr>
        <w:spacing w:after="120" w:line="360"/>
      </w:pPr>
      <w:r>
        <w:rPr>
          <w:rFonts w:ascii="Times New Roman" w:cs="Times New Roman" w:eastAsia="Times New Roman" w:hAnsi="Times New Roman"/>
          <w:sz w:val="26"/>
          <w:szCs w:val="26"/>
        </w:rPr>
        <w:t xml:space="preserve">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w:t>
      </w:r>
    </w:p>
    <w:p>
      <w:pPr>
        <w:spacing w:after="120" w:line="360"/>
      </w:pPr>
      <w:r>
        <w:rPr>
          <w:rFonts w:ascii="Times New Roman" w:cs="Times New Roman" w:eastAsia="Times New Roman" w:hAnsi="Times New Roman"/>
          <w:sz w:val="26"/>
          <w:szCs w:val="26"/>
        </w:rPr>
        <w:t xml:space="preserve">Số thuế giá trị gia tăng được hoàn của hàng hóa, dịch vụ xuất khẩu không vượt quá 10% doanh thu của hàng hóa, dịch vụ xuất khẩu của kỳ hoàn thuế.</w:t>
      </w:r>
    </w:p>
    <w:p>
      <w:pPr>
        <w:spacing w:after="120" w:line="360"/>
      </w:pPr>
      <w:r>
        <w:rPr>
          <w:rFonts w:ascii="Times New Roman" w:cs="Times New Roman" w:eastAsia="Times New Roman" w:hAnsi="Times New Roman"/>
          <w:sz w:val="26"/>
          <w:szCs w:val="26"/>
        </w:rPr>
        <w:t xml:space="preserve">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w:t>
      </w:r>
    </w:p>
    <w:p>
      <w:pPr>
        <w:spacing w:after="120" w:line="360"/>
      </w:pPr>
      <w:r>
        <w:rPr>
          <w:rFonts w:ascii="Times New Roman" w:cs="Times New Roman" w:eastAsia="Times New Roman" w:hAnsi="Times New Roman"/>
          <w:sz w:val="26"/>
          <w:szCs w:val="26"/>
        </w:rPr>
        <w:t xml:space="preserve">Bộ Tài chính quy định cách xác định số thuế giá trị gia tăng được hoàn đối với hàng hóa, dịch vụ xuất khẩu.</w:t>
      </w:r>
    </w:p>
    <w:p>
      <w:pPr>
        <w:spacing w:after="120" w:line="360"/>
      </w:pPr>
      <w:r>
        <w:rPr>
          <w:rFonts w:ascii="Times New Roman" w:cs="Times New Roman" w:eastAsia="Times New Roman" w:hAnsi="Times New Roman"/>
          <w:sz w:val="26"/>
          <w:szCs w:val="26"/>
        </w:rPr>
        <w:t xml:space="preserve">Điều 30.</w:t>
      </w:r>
    </w:p>
    <w:p>
      <w:pPr>
        <w:spacing w:after="120" w:line="360"/>
      </w:pPr>
      <w:r>
        <w:rPr>
          <w:rFonts w:ascii="Times New Roman" w:cs="Times New Roman" w:eastAsia="Times New Roman" w:hAnsi="Times New Roman"/>
          <w:sz w:val="26"/>
          <w:szCs w:val="26"/>
        </w:rPr>
        <w:t xml:space="preserve">Hoàn thuế đối với đầu tư 1.</w:t>
      </w:r>
    </w:p>
    <w:p>
      <w:pPr>
        <w:spacing w:after="120" w:line="360"/>
      </w:pPr>
      <w:r>
        <w:rPr>
          <w:rFonts w:ascii="Times New Roman" w:cs="Times New Roman" w:eastAsia="Times New Roman" w:hAnsi="Times New Roman"/>
          <w:sz w:val="26"/>
          <w:szCs w:val="26"/>
        </w:rPr>
        <w:t xml:space="preserve">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w:t>
      </w:r>
    </w:p>
    <w:p>
      <w:pPr>
        <w:spacing w:after="120" w:line="360"/>
      </w:pPr>
      <w:r>
        <w:rPr>
          <w:rFonts w:ascii="Times New Roman" w:cs="Times New Roman" w:eastAsia="Times New Roman" w:hAnsi="Times New Roman"/>
          <w:sz w:val="26"/>
          <w:szCs w:val="26"/>
        </w:rPr>
        <w:t xml:space="preserve">Sau khi bù trừ nếu số thuế giá trị gia tăng đầu vào của dự án đầu tư chưa được khấu trừ hết từ 300 triệu đồng trở lên thì được hoàn thuế giá trị gia tăng.</w:t>
      </w:r>
    </w:p>
    <w:p>
      <w:pPr>
        <w:spacing w:after="120" w:line="360"/>
      </w:pPr>
      <w:r>
        <w:rPr>
          <w:rFonts w:ascii="Times New Roman" w:cs="Times New Roman" w:eastAsia="Times New Roman" w:hAnsi="Times New Roman"/>
          <w:sz w:val="26"/>
          <w:szCs w:val="26"/>
        </w:rPr>
        <w:t xml:space="preserve">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w:t>
      </w:r>
    </w:p>
    <w:p>
      <w:pPr>
        <w:spacing w:after="120" w:line="360"/>
      </w:pPr>
      <w:r>
        <w:rPr>
          <w:rFonts w:ascii="Times New Roman" w:cs="Times New Roman" w:eastAsia="Times New Roman" w:hAnsi="Times New Roman"/>
          <w:sz w:val="26"/>
          <w:szCs w:val="26"/>
        </w:rPr>
        <w:t xml:space="preserve">Ngày dự án đầu tư hoặc ngày giai đoạn, hạng mục đầu tư hoàn thành là ngày phát sinh doanh thu của dự án đầu tư hoặc ngày phát sinh doanh thu của giai đoạn, hạng mục đầu tư.</w:t>
      </w:r>
    </w:p>
    <w:p>
      <w:pPr>
        <w:spacing w:after="120" w:line="360"/>
      </w:pPr>
      <w:r>
        <w:rPr>
          <w:rFonts w:ascii="Times New Roman" w:cs="Times New Roman" w:eastAsia="Times New Roman" w:hAnsi="Times New Roman"/>
          <w:sz w:val="26"/>
          <w:szCs w:val="26"/>
        </w:rPr>
        <w:t xml:space="preserve">Doanh thu quy định tại Điều này không bao gồm doanh thu phát sinh trong giai đoạn chạy thử, doanh thu hoạt động tài chính, thanh lý nguyên vật liệu của dự án đầu tư.</w:t>
      </w:r>
    </w:p>
    <w:p>
      <w:pPr>
        <w:spacing w:after="120" w:line="360"/>
      </w:pPr>
      <w:r>
        <w:rPr>
          <w:rFonts w:ascii="Times New Roman" w:cs="Times New Roman" w:eastAsia="Times New Roman" w:hAnsi="Times New Roman"/>
          <w:sz w:val="26"/>
          <w:szCs w:val="26"/>
        </w:rPr>
        <w:t xml:space="preserve">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w:t>
      </w:r>
    </w:p>
    <w:p>
      <w:pPr>
        <w:spacing w:after="120" w:line="360"/>
      </w:pPr>
      <w:r>
        <w:rPr>
          <w:rFonts w:ascii="Times New Roman" w:cs="Times New Roman" w:eastAsia="Times New Roman" w:hAnsi="Times New Roman"/>
          <w:sz w:val="26"/>
          <w:szCs w:val="26"/>
        </w:rPr>
        <w:t xml:space="preserve">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w:t>
      </w:r>
    </w:p>
    <w:p>
      <w:pPr>
        <w:spacing w:after="120" w:line="360"/>
      </w:pPr>
      <w:r>
        <w:rPr>
          <w:rFonts w:ascii="Times New Roman" w:cs="Times New Roman" w:eastAsia="Times New Roman" w:hAnsi="Times New Roman"/>
          <w:sz w:val="26"/>
          <w:szCs w:val="26"/>
        </w:rPr>
        <w:t xml:space="preserve">Sau khi bù trừ nếu số thuế giá trị gia tăng đầu vào của dự án đầu tư chưa được khấu trừ hết từ 300 triệu đồng trở lên thì được hoàn thuế giá trị gia tăng theo quy định tại Điều này.</w:t>
      </w:r>
    </w:p>
    <w:p>
      <w:pPr>
        <w:spacing w:after="120" w:line="360"/>
      </w:pPr>
      <w:r>
        <w:rPr>
          <w:rFonts w:ascii="Times New Roman" w:cs="Times New Roman" w:eastAsia="Times New Roman" w:hAnsi="Times New Roman"/>
          <w:sz w:val="26"/>
          <w:szCs w:val="26"/>
        </w:rPr>
        <w:t xml:space="preserve">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pPr>
        <w:spacing w:after="120" w:line="360"/>
      </w:pPr>
      <w:r>
        <w:rPr>
          <w:rFonts w:ascii="Times New Roman" w:cs="Times New Roman" w:eastAsia="Times New Roman" w:hAnsi="Times New Roman"/>
          <w:sz w:val="26"/>
          <w:szCs w:val="26"/>
        </w:rPr>
        <w:t xml:space="preserve">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 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pPr>
        <w:spacing w:after="120" w:line="360"/>
      </w:pPr>
      <w:r>
        <w:rPr>
          <w:rFonts w:ascii="Times New Roman" w:cs="Times New Roman" w:eastAsia="Times New Roman" w:hAnsi="Times New Roman"/>
          <w:sz w:val="26"/>
          <w:szCs w:val="26"/>
        </w:rPr>
        <w:t xml:space="preserve">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pPr>
        <w:spacing w:after="120" w:line="360"/>
      </w:pPr>
      <w:r>
        <w:rPr>
          <w:rFonts w:ascii="Times New Roman" w:cs="Times New Roman" w:eastAsia="Times New Roman" w:hAnsi="Times New Roman"/>
          <w:sz w:val="26"/>
          <w:szCs w:val="26"/>
        </w:rPr>
        <w:t xml:space="preserve">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 a) Dự án đầu tư của cơ sở kinh doanh không góp đủ số vốn điều lệ như đã đăng ký tại thời điểm nộp hồ sơ hoàn thuế.</w:t>
      </w:r>
    </w:p>
    <w:p>
      <w:pPr>
        <w:spacing w:after="120" w:line="360"/>
      </w:pPr>
      <w:r>
        <w:rPr>
          <w:rFonts w:ascii="Times New Roman" w:cs="Times New Roman" w:eastAsia="Times New Roman" w:hAnsi="Times New Roman"/>
          <w:sz w:val="26"/>
          <w:szCs w:val="26"/>
        </w:rPr>
        <w:t xml:space="preserve">b) Dự án đầu tư của cơ sở kinh doanh ngành, nghề đầu tư kinh doanh có điều kiện khi chưa đủ các điều kiện kinh doanh theo quy định của pháp luật về đầu tư trừ trường hợp quy định tại khoản 2 Điều này.</w:t>
      </w:r>
    </w:p>
    <w:p>
      <w:pPr>
        <w:spacing w:after="120" w:line="360"/>
      </w:pPr>
      <w:r>
        <w:rPr>
          <w:rFonts w:ascii="Times New Roman" w:cs="Times New Roman" w:eastAsia="Times New Roman" w:hAnsi="Times New Roman"/>
          <w:sz w:val="26"/>
          <w:szCs w:val="26"/>
        </w:rPr>
        <w:t xml:space="preserve">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spacing w:after="120" w:line="360"/>
      </w:pPr>
      <w:r>
        <w:rPr>
          <w:rFonts w:ascii="Times New Roman" w:cs="Times New Roman" w:eastAsia="Times New Roman" w:hAnsi="Times New Roman"/>
          <w:sz w:val="26"/>
          <w:szCs w:val="26"/>
        </w:rP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khoản 14 Điều 4 của Nghị định này.</w:t>
      </w:r>
    </w:p>
    <w:p>
      <w:pPr>
        <w:spacing w:after="120" w:line="360"/>
      </w:pPr>
      <w:r>
        <w:rPr>
          <w:rFonts w:ascii="Times New Roman" w:cs="Times New Roman" w:eastAsia="Times New Roman" w:hAnsi="Times New Roman"/>
          <w:sz w:val="26"/>
          <w:szCs w:val="26"/>
        </w:rPr>
        <w:t xml:space="preserve">Điều 31.</w:t>
      </w:r>
    </w:p>
    <w:p>
      <w:pPr>
        <w:spacing w:after="120" w:line="360"/>
      </w:pPr>
      <w:r>
        <w:rPr>
          <w:rFonts w:ascii="Times New Roman" w:cs="Times New Roman" w:eastAsia="Times New Roman" w:hAnsi="Times New Roman"/>
          <w:sz w:val="26"/>
          <w:szCs w:val="26"/>
        </w:rPr>
        <w:t xml:space="preserve">Hoàn thuế đối với hàng hóa, dịch vụ chịu thuế suất thuế giá trị gia tăng 5% 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w:t>
      </w:r>
    </w:p>
    <w:p>
      <w:pPr>
        <w:spacing w:after="120" w:line="360"/>
      </w:pPr>
      <w:r>
        <w:rPr>
          <w:rFonts w:ascii="Times New Roman" w:cs="Times New Roman" w:eastAsia="Times New Roman" w:hAnsi="Times New Roman"/>
          <w:sz w:val="26"/>
          <w:szCs w:val="26"/>
        </w:rPr>
        <w:t xml:space="preserve">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w:t>
      </w:r>
    </w:p>
    <w:p>
      <w:pPr>
        <w:spacing w:after="120" w:line="360"/>
      </w:pPr>
      <w:r>
        <w:rPr>
          <w:rFonts w:ascii="Times New Roman" w:cs="Times New Roman" w:eastAsia="Times New Roman" w:hAnsi="Times New Roman"/>
          <w:sz w:val="26"/>
          <w:szCs w:val="26"/>
        </w:rPr>
        <w:t xml:space="preserve">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w:t>
      </w:r>
    </w:p>
    <w:p>
      <w:pPr>
        <w:spacing w:after="120" w:line="360"/>
      </w:pPr>
      <w:r>
        <w:rPr>
          <w:rFonts w:ascii="Times New Roman" w:cs="Times New Roman" w:eastAsia="Times New Roman" w:hAnsi="Times New Roman"/>
          <w:sz w:val="26"/>
          <w:szCs w:val="26"/>
        </w:rPr>
        <w:t xml:space="preserve">Bộ Tài chính quy định cách xác định số thuế giá trị gia tăng được hoàn đối với hoạt động sản xuất hàng hóa, cung cấp dịch vụ chịu thuế suất thuế giá trị gia tăng 5%.</w:t>
      </w:r>
    </w:p>
    <w:p>
      <w:pPr>
        <w:spacing w:after="120" w:line="360"/>
      </w:pPr>
      <w:r>
        <w:rPr>
          <w:rFonts w:ascii="Times New Roman" w:cs="Times New Roman" w:eastAsia="Times New Roman" w:hAnsi="Times New Roman"/>
          <w:sz w:val="26"/>
          <w:szCs w:val="26"/>
        </w:rPr>
        <w:t xml:space="preserve">Điều 32.</w:t>
      </w:r>
    </w:p>
    <w:p>
      <w:pPr>
        <w:spacing w:after="120" w:line="360"/>
      </w:pPr>
      <w:r>
        <w:rPr>
          <w:rFonts w:ascii="Times New Roman" w:cs="Times New Roman" w:eastAsia="Times New Roman" w:hAnsi="Times New Roman"/>
          <w:sz w:val="26"/>
          <w:szCs w:val="26"/>
        </w:rPr>
        <w:t xml:space="preserve">Hoàn thuế đối với cơ sở kinh doanh khi giải thể, phá sản 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khoản 1 Điều 30 Nghị định này).</w:t>
      </w:r>
    </w:p>
    <w:p>
      <w:pPr>
        <w:spacing w:after="120" w:line="360"/>
      </w:pPr>
      <w:r>
        <w:rPr>
          <w:rFonts w:ascii="Times New Roman" w:cs="Times New Roman" w:eastAsia="Times New Roman" w:hAnsi="Times New Roman"/>
          <w:sz w:val="26"/>
          <w:szCs w:val="26"/>
        </w:rPr>
        <w:t xml:space="preserve">Cơ sở kinh doanh phải thực hiện theo quy định của pháp luật về giải thể, phá sản và quản lý thuế.</w:t>
      </w:r>
    </w:p>
    <w:p>
      <w:pPr>
        <w:spacing w:after="120" w:line="360"/>
      </w:pPr>
      <w:r>
        <w:rPr>
          <w:rFonts w:ascii="Times New Roman" w:cs="Times New Roman" w:eastAsia="Times New Roman" w:hAnsi="Times New Roman"/>
          <w:sz w:val="26"/>
          <w:szCs w:val="26"/>
        </w:rPr>
        <w:t xml:space="preserve">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pPr>
        <w:spacing w:after="120" w:line="360"/>
      </w:pPr>
      <w:r>
        <w:rPr>
          <w:rFonts w:ascii="Times New Roman" w:cs="Times New Roman" w:eastAsia="Times New Roman" w:hAnsi="Times New Roman"/>
          <w:sz w:val="26"/>
          <w:szCs w:val="26"/>
        </w:rPr>
        <w:t xml:space="preserve">Điều 33.</w:t>
      </w:r>
    </w:p>
    <w:p>
      <w:pPr>
        <w:spacing w:after="120" w:line="360"/>
      </w:pPr>
      <w:r>
        <w:rPr>
          <w:rFonts w:ascii="Times New Roman" w:cs="Times New Roman" w:eastAsia="Times New Roman" w:hAnsi="Times New Roman"/>
          <w:sz w:val="26"/>
          <w:szCs w:val="26"/>
        </w:rPr>
        <w:t xml:space="preserve">Hoàn thuế đối với hàng hóa mua tại Việt Nam mang theo khi xuất cảnh 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w:t>
      </w:r>
    </w:p>
    <w:p>
      <w:pPr>
        <w:spacing w:after="120" w:line="360"/>
      </w:pPr>
      <w:r>
        <w:rPr>
          <w:rFonts w:ascii="Times New Roman" w:cs="Times New Roman" w:eastAsia="Times New Roman" w:hAnsi="Times New Roman"/>
          <w:sz w:val="26"/>
          <w:szCs w:val="26"/>
        </w:rPr>
        <w:t xml:space="preserve">Hồ sơ, thủ tục, số thuế được hoàn, phương thức hoàn thuế đối với trường hợp quy định tại khoản này được quy định tại Phụ lục IV ban hành kèm theo Nghị định này.</w:t>
      </w:r>
    </w:p>
    <w:p>
      <w:pPr>
        <w:spacing w:after="120" w:line="360"/>
      </w:pPr>
      <w:r>
        <w:rPr>
          <w:rFonts w:ascii="Times New Roman" w:cs="Times New Roman" w:eastAsia="Times New Roman" w:hAnsi="Times New Roman"/>
          <w:sz w:val="26"/>
          <w:szCs w:val="26"/>
        </w:rPr>
        <w:t xml:space="preserve">Điều 34.</w:t>
      </w:r>
    </w:p>
    <w:p>
      <w:pPr>
        <w:spacing w:after="120" w:line="360"/>
      </w:pPr>
      <w:r>
        <w:rPr>
          <w:rFonts w:ascii="Times New Roman" w:cs="Times New Roman" w:eastAsia="Times New Roman" w:hAnsi="Times New Roman"/>
          <w:sz w:val="26"/>
          <w:szCs w:val="26"/>
        </w:rPr>
        <w:t xml:space="preserve">Hoàn thuế đối với các chương trình, dự án sử dụng vốn hỗ trợ phát triển chính thức (ODA) không hoàn lại hoặc viện trợ không hoàn lại, viện trợ nhân đạo Việc hoàn thuế giá trị gia tăng đối với các chương trình, dự án sử dụng vốn hỗ trợ phát triển chính thức (ODA) không hoàn lại hoặc viện trợ không hoàn lại, viện trợ nhân đạo được quy định như sau: 1.</w:t>
      </w:r>
    </w:p>
    <w:p>
      <w:pPr>
        <w:spacing w:after="120" w:line="360"/>
      </w:pPr>
      <w:r>
        <w:rPr>
          <w:rFonts w:ascii="Times New Roman" w:cs="Times New Roman" w:eastAsia="Times New Roman" w:hAnsi="Times New Roman"/>
          <w:sz w:val="26"/>
          <w:szCs w:val="26"/>
        </w:rPr>
        <w:t xml:space="preserve">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spacing w:after="120" w:line="360"/>
      </w:pPr>
      <w:r>
        <w:rPr>
          <w:rFonts w:ascii="Times New Roman" w:cs="Times New Roman" w:eastAsia="Times New Roman" w:hAnsi="Times New Roman"/>
          <w:sz w:val="26"/>
          <w:szCs w:val="26"/>
        </w:rPr>
        <w:t xml:space="preserve">Điều 35.</w:t>
      </w:r>
    </w:p>
    <w:p>
      <w:pPr>
        <w:spacing w:after="120" w:line="360"/>
      </w:pPr>
      <w:r>
        <w:rPr>
          <w:rFonts w:ascii="Times New Roman" w:cs="Times New Roman" w:eastAsia="Times New Roman" w:hAnsi="Times New Roman"/>
          <w:sz w:val="26"/>
          <w:szCs w:val="26"/>
        </w:rPr>
        <w:t xml:space="preserve">Hoàn thuế đối với hàng hóa, dịch vụ mua tại Việt Nam của đối tượng được hưởng quyền ưu đãi miễn trừ ngoại giao 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pPr>
        <w:spacing w:after="120" w:line="360"/>
      </w:pPr>
      <w:r>
        <w:rPr>
          <w:rFonts w:ascii="Times New Roman" w:cs="Times New Roman" w:eastAsia="Times New Roman" w:hAnsi="Times New Roman"/>
          <w:sz w:val="26"/>
          <w:szCs w:val="26"/>
        </w:rPr>
        <w:t xml:space="preserve">Điều 36.</w:t>
      </w:r>
    </w:p>
    <w:p>
      <w:pPr>
        <w:spacing w:after="120" w:line="360"/>
      </w:pPr>
      <w:r>
        <w:rPr>
          <w:rFonts w:ascii="Times New Roman" w:cs="Times New Roman" w:eastAsia="Times New Roman" w:hAnsi="Times New Roman"/>
          <w:sz w:val="26"/>
          <w:szCs w:val="26"/>
        </w:rPr>
        <w:t xml:space="preserve">Hoàn thuế theo điều ước quốc tế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spacing w:after="120" w:line="360"/>
      </w:pPr>
      <w:r>
        <w:rPr>
          <w:rFonts w:ascii="Times New Roman" w:cs="Times New Roman" w:eastAsia="Times New Roman" w:hAnsi="Times New Roman"/>
          <w:sz w:val="26"/>
          <w:szCs w:val="26"/>
        </w:rPr>
        <w:t xml:space="preserve">Điều 37.</w:t>
      </w:r>
    </w:p>
    <w:p>
      <w:pPr>
        <w:spacing w:after="120" w:line="360"/>
      </w:pPr>
      <w:r>
        <w:rPr>
          <w:rFonts w:ascii="Times New Roman" w:cs="Times New Roman" w:eastAsia="Times New Roman" w:hAnsi="Times New Roman"/>
          <w:sz w:val="26"/>
          <w:szCs w:val="26"/>
        </w:rPr>
        <w:t xml:space="preserve">Điều kiện hoàn thuế giá trị gia tăng Cơ sở kinh doanh thuộc trường hợp hoàn thuế quy định tại Mục này phải đáp ứng điều kiện sau đây: 1.</w:t>
      </w:r>
    </w:p>
    <w:p>
      <w:pPr>
        <w:spacing w:after="120" w:line="360"/>
      </w:pPr>
      <w:r>
        <w:rPr>
          <w:rFonts w:ascii="Times New Roman" w:cs="Times New Roman" w:eastAsia="Times New Roman" w:hAnsi="Times New Roman"/>
          <w:sz w:val="26"/>
          <w:szCs w:val="26"/>
        </w:rPr>
        <w:t xml:space="preserve">Cơ sở kinh doanh thuộc trường hợp được hoàn thuế theo quy định tại các Điều 29, Điều 30, Điều 31, Điều 32 Nghị định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Đáp ứng quy định về khấu trừ thuế giá trị gia tăng đầu vào theo quy định tại Mục 2 Chương III và không thuộc trường hợp quy định tại khoản 15 Điều 23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bán đã kê khai, nộp thuế giá trị gia tăng theo quy định đối với hóa đơn đã xuất cho cơ sở kinh doanh đề nghị hoàn thuế được xác định như sau: 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pPr>
        <w:spacing w:after="120" w:line="360"/>
      </w:pPr>
      <w:r>
        <w:rPr>
          <w:rFonts w:ascii="Times New Roman" w:cs="Times New Roman" w:eastAsia="Times New Roman" w:hAnsi="Times New Roman"/>
          <w:sz w:val="26"/>
          <w:szCs w:val="26"/>
        </w:rPr>
        <w:t xml:space="preserve">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pPr>
        <w:spacing w:after="120" w:line="360"/>
      </w:pPr>
      <w:r>
        <w:rPr>
          <w:rFonts w:ascii="Times New Roman" w:cs="Times New Roman" w:eastAsia="Times New Roman" w:hAnsi="Times New Roman"/>
          <w:sz w:val="26"/>
          <w:szCs w:val="26"/>
        </w:rPr>
        <w:t xml:space="preserve">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p>
    <w:p>
      <w:pPr>
        <w:spacing w:after="120" w:line="360"/>
      </w:pPr>
      <w:r>
        <w:rPr>
          <w:rFonts w:ascii="Times New Roman" w:cs="Times New Roman" w:eastAsia="Times New Roman" w:hAnsi="Times New Roman"/>
          <w:sz w:val="26"/>
          <w:szCs w:val="26"/>
        </w:rPr>
        <w:t xml:space="preserve">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pPr>
        <w:spacing w:after="120" w:line="360"/>
      </w:pPr>
      <w:r>
        <w:rPr>
          <w:rFonts w:ascii="Times New Roman" w:cs="Times New Roman" w:eastAsia="Times New Roman" w:hAnsi="Times New Roman"/>
          <w:sz w:val="26"/>
          <w:szCs w:val="26"/>
        </w:rPr>
        <w:t xml:space="preserve">Chương IV ĐIỀU KHOẢN THI HÀNH Điều 38.</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01 tháng 7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thay thế: a) Nghị định số 209/2013/NĐ-CP ngày 18 tháng 12 năm 2013 của Chính phủ quy định chi tiết và hướng dẫn thi hành một số điều Luật Thuế giá trị gia tăng.</w:t>
      </w:r>
    </w:p>
    <w:p>
      <w:pPr>
        <w:spacing w:after="120" w:line="360"/>
      </w:pPr>
      <w:r>
        <w:rPr>
          <w:rFonts w:ascii="Times New Roman" w:cs="Times New Roman" w:eastAsia="Times New Roman" w:hAnsi="Times New Roman"/>
          <w:sz w:val="26"/>
          <w:szCs w:val="26"/>
        </w:rPr>
        <w:t xml:space="preserve">b)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Luật Thuế giá trị gia tăng đã được sửa đổi, bổ sung một số điều theo Nghị định số 12/2015/NĐ-CP, Nghị định số 100/2016/NĐ-CP và Nghị định số 146/2017/NĐ-CP.</w:t>
      </w:r>
    </w:p>
    <w:p>
      <w:pPr>
        <w:spacing w:after="120" w:line="360"/>
      </w:pPr>
      <w:r>
        <w:rPr>
          <w:rFonts w:ascii="Times New Roman" w:cs="Times New Roman" w:eastAsia="Times New Roman" w:hAnsi="Times New Roman"/>
          <w:sz w:val="26"/>
          <w:szCs w:val="26"/>
        </w:rPr>
        <w:t xml:space="preserve">c) Quy định việc xác định sản phẩm có tổng giá trị tài nguyên, khoáng sản cộng với chi phí năng lượng chiếm từ 51% giá thành sản phẩm trở lên tại điểm a khoản 1 Điều 11 và khoản 2 Điều 15 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mục hàng hóa và mức thuế tuyệt đối, thuế hỗn hợp và thuế nhập khẩu ngoài hạn ngạch thuế quan bằng quy định tại Phụ lục V ban hành kèm theo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Bãi bỏ quy định tại: a) Điều 2 Nghị định số 91/2014/NĐ-CP ngày 01 tháng 10 năm 2014 của Chính phủ sửa đổi, bổ sung một số điều tại các Nghị định quy định về thuế.</w:t>
      </w:r>
    </w:p>
    <w:p>
      <w:pPr>
        <w:spacing w:after="120" w:line="360"/>
      </w:pPr>
      <w:r>
        <w:rPr>
          <w:rFonts w:ascii="Times New Roman" w:cs="Times New Roman" w:eastAsia="Times New Roman" w:hAnsi="Times New Roman"/>
          <w:sz w:val="26"/>
          <w:szCs w:val="26"/>
        </w:rPr>
        <w:t xml:space="preserve">b) Điều 3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pPr>
        <w:spacing w:after="120" w:line="360"/>
      </w:pPr>
      <w:r>
        <w:rPr>
          <w:rFonts w:ascii="Times New Roman" w:cs="Times New Roman" w:eastAsia="Times New Roman" w:hAnsi="Times New Roman"/>
          <w:sz w:val="26"/>
          <w:szCs w:val="26"/>
        </w:rPr>
        <w:t xml:space="preserve">c) Điều 1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pPr>
        <w:spacing w:after="120" w:line="360"/>
      </w:pPr>
      <w:r>
        <w:rPr>
          <w:rFonts w:ascii="Times New Roman" w:cs="Times New Roman" w:eastAsia="Times New Roman" w:hAnsi="Times New Roman"/>
          <w:sz w:val="26"/>
          <w:szCs w:val="26"/>
        </w:rPr>
        <w:t xml:space="preserve">d) Điều 1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các văn bản quy phạm pháp luật quy định viện dẫn tại Nghị định này được sửa đổi, bổ sung hoặc thay thế thì thực hiện theo văn bản được sửa đổi, bổ sung hoặc thay thế đó.</w:t>
      </w:r>
    </w:p>
    <w:p>
      <w:pPr>
        <w:spacing w:after="120" w:line="360"/>
      </w:pPr>
      <w:r>
        <w:rPr>
          <w:rFonts w:ascii="Times New Roman" w:cs="Times New Roman" w:eastAsia="Times New Roman" w:hAnsi="Times New Roman"/>
          <w:sz w:val="26"/>
          <w:szCs w:val="26"/>
        </w:rPr>
        <w:t xml:space="preserve">Điều 39.</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Điều 30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 định về hoàn thuế giá trị gia tăng đối với hoạt động sản xuất hàng hóa, cung cấp dịch vụ chịu thuế suất thuế giá trị gia tăng 5% quy định tại Điều 31 Nghị định này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Quy định tại khoản 3 Điều 37 Nghị định này áp dụng cho kỳ tính thuế từ tháng 7 năm 2025 hoặc quý 3 năm 2025.</w:t>
      </w:r>
    </w:p>
    <w:p>
      <w:pPr>
        <w:spacing w:after="120" w:line="360"/>
      </w:pPr>
      <w:r>
        <w:rPr>
          <w:rFonts w:ascii="Times New Roman" w:cs="Times New Roman" w:eastAsia="Times New Roman" w:hAnsi="Times New Roman"/>
          <w:sz w:val="26"/>
          <w:szCs w:val="26"/>
        </w:rPr>
        <w:t xml:space="preserve">Điều 40.</w:t>
      </w:r>
    </w:p>
    <w:p>
      <w:pPr>
        <w:spacing w:after="120" w:line="360"/>
      </w:pPr>
      <w:r>
        <w:rPr>
          <w:rFonts w:ascii="Times New Roman" w:cs="Times New Roman" w:eastAsia="Times New Roman" w:hAnsi="Times New Roman"/>
          <w:sz w:val="26"/>
          <w:szCs w:val="26"/>
        </w:rPr>
        <w:t xml:space="preserve">Trách nhiệm thi hành 1.</w:t>
      </w:r>
    </w:p>
    <w:p>
      <w:pPr>
        <w:spacing w:after="120" w:line="360"/>
      </w:pPr>
      <w:r>
        <w:rPr>
          <w:rFonts w:ascii="Times New Roman" w:cs="Times New Roman" w:eastAsia="Times New Roman" w:hAnsi="Times New Roman"/>
          <w:sz w:val="26"/>
          <w:szCs w:val="26"/>
        </w:rPr>
        <w:t xml:space="preserve">Bộ Tài chính quy định chi tiết các điều, khoản được giao tại Nghị định và hướng dẫn thực hiện Nghị định này theo chức năng, nhiệm vụ đảm bảo yêu cầu quản lý.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Bộ Tài chính quy định cụ thể đối với hàng hóa, dịch vụ không thuộc phạm vi điều chỉnh của Nghị định này và Luật Thuế giá trị gia tăng.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đoàn thể;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 PHỤ LỤC I TÀI NGUYÊN, KHOÁNG SẢN KHAI THÁC CHƯA CHẾ BIẾN THÀNH SẢN PHẨM KHÁC (Kèm theo Nghị định số 181/2025/NĐ-CP ngày 01 tháng 7 năm 2025 của Chính phủ) Mã hàng Mô tả hàng hoá Chương 25 Muối; lưu huỳnh; đất và đá; thạch cao, vôi và xi măng 2502.00.00 Pirit sắt chưa nung.</w:t>
      </w:r>
    </w:p>
    <w:p>
      <w:pPr>
        <w:spacing w:after="120" w:line="360"/>
      </w:pPr>
      <w:r>
        <w:rPr>
          <w:rFonts w:ascii="Times New Roman" w:cs="Times New Roman" w:eastAsia="Times New Roman" w:hAnsi="Times New Roman"/>
          <w:sz w:val="26"/>
          <w:szCs w:val="26"/>
        </w:rPr>
        <w:t xml:space="preserve">2503.00.00 Lưu huỳnh các loại, trừ lưu huỳnh thăng hoa, lưu huỳnh kết tủa và lưu huỳnh dạng keo.</w:t>
      </w:r>
    </w:p>
    <w:p>
      <w:pPr>
        <w:spacing w:after="120" w:line="360"/>
      </w:pPr>
      <w:r>
        <w:rPr>
          <w:rFonts w:ascii="Times New Roman" w:cs="Times New Roman" w:eastAsia="Times New Roman" w:hAnsi="Times New Roman"/>
          <w:sz w:val="26"/>
          <w:szCs w:val="26"/>
        </w:rPr>
        <w:t xml:space="preserve">25.04 Graphit tự nhiên.</w:t>
      </w:r>
    </w:p>
    <w:p>
      <w:pPr>
        <w:spacing w:after="120" w:line="360"/>
      </w:pPr>
      <w:r>
        <w:rPr>
          <w:rFonts w:ascii="Times New Roman" w:cs="Times New Roman" w:eastAsia="Times New Roman" w:hAnsi="Times New Roman"/>
          <w:sz w:val="26"/>
          <w:szCs w:val="26"/>
        </w:rPr>
        <w:t xml:space="preserve">2504.10.00 - Ở dạng bột hoặc dạng mảnh 2504.90.00 - Loại khác 25.05 Các loại cát tự nhiên, đã hoặc chưa nhuộm màu, trừ cát chứa kim loại thuộc Chương 26.</w:t>
      </w:r>
    </w:p>
    <w:p>
      <w:pPr>
        <w:spacing w:after="120" w:line="360"/>
      </w:pPr>
      <w:r>
        <w:rPr>
          <w:rFonts w:ascii="Times New Roman" w:cs="Times New Roman" w:eastAsia="Times New Roman" w:hAnsi="Times New Roman"/>
          <w:sz w:val="26"/>
          <w:szCs w:val="26"/>
        </w:rPr>
        <w:t xml:space="preserve">2505.10.00 - Cát oxit silic và cát thạch anh: 2505.10.00.10 - - Bột oxit silic mịn và siêu mịn có kích thước hạt từ 96µm (micrô mét) trở xuống, hàm lượng SiO2 ≥97,7%, Fe2O3 ≤ 0,030%, độ ẩm ≤0,3% 2505.10.00.20 - - Bột oxit silic mịn có kích thước hạt từ 500 µm (micromet) trở xuống, hàm lượng SiO2 ≥ 99,3%; Fe2O3 ≤ 0,01%, độ ẩm ≤ 5% 2505.10.00.90 - - Loại khác 2505.90.00 - Loại khác 25.06 Thạch anh (trừ cát tự nhiên); quartzite, đã hoặc chưa đẽo thô hoặc mới chỉ được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2506.10.00 - Thạch anh 2506.20.00 - Quartzite 2507.00.00 Cao lanh và đất sét cao lanh khác, đã hoặc chưa nung.</w:t>
      </w:r>
    </w:p>
    <w:p>
      <w:pPr>
        <w:spacing w:after="120" w:line="360"/>
      </w:pPr>
      <w:r>
        <w:rPr>
          <w:rFonts w:ascii="Times New Roman" w:cs="Times New Roman" w:eastAsia="Times New Roman" w:hAnsi="Times New Roman"/>
          <w:sz w:val="26"/>
          <w:szCs w:val="26"/>
        </w:rPr>
        <w:t xml:space="preserve">25.08 Đất sét khác (không kể đất sét trương nở thuộc nhóm 68.06), andalusite, kyanite và sillimanite, đã hoặc chưa nung; mullite; đất chịu lửa (chamotte) hoặc đất dinas.</w:t>
      </w:r>
    </w:p>
    <w:p>
      <w:pPr>
        <w:spacing w:after="120" w:line="360"/>
      </w:pPr>
      <w:r>
        <w:rPr>
          <w:rFonts w:ascii="Times New Roman" w:cs="Times New Roman" w:eastAsia="Times New Roman" w:hAnsi="Times New Roman"/>
          <w:sz w:val="26"/>
          <w:szCs w:val="26"/>
        </w:rPr>
        <w:t xml:space="preserve">2508.10.00 - Bentonite 2508.30.00 - Đất sét chịu lửa 2508.40 - Đất sét khác: 2508.40.10 - - Đất hồ (đất tẩy màu) 2508.40.90 - - Loại khác 2508.50.00 - Andalusite, kyanite và sillimanite 2508.60.00 - Mullite 2508.70.00 - Đất chịu lửa hoặc đất dinas 2509.00.00 Đá phấn.</w:t>
      </w:r>
    </w:p>
    <w:p>
      <w:pPr>
        <w:spacing w:after="120" w:line="360"/>
      </w:pPr>
      <w:r>
        <w:rPr>
          <w:rFonts w:ascii="Times New Roman" w:cs="Times New Roman" w:eastAsia="Times New Roman" w:hAnsi="Times New Roman"/>
          <w:sz w:val="26"/>
          <w:szCs w:val="26"/>
        </w:rPr>
        <w:t xml:space="preserve">25.10 Canxi phosphat tự nhiên, canxi phosphat nhôm tự nhiên và đá phấn có chứa phosphat.</w:t>
      </w:r>
    </w:p>
    <w:p>
      <w:pPr>
        <w:spacing w:after="120" w:line="360"/>
      </w:pPr>
      <w:r>
        <w:rPr>
          <w:rFonts w:ascii="Times New Roman" w:cs="Times New Roman" w:eastAsia="Times New Roman" w:hAnsi="Times New Roman"/>
          <w:sz w:val="26"/>
          <w:szCs w:val="26"/>
        </w:rPr>
        <w:t xml:space="preserve">2510.10 - Chưa nghiền: 2510.10.10 - - Apatít (apatite) 2510.10.90 - - Loại khác 2510.20 - Đã nghiền: 2510.20.10 - - Apatít (apatite): 2510.20.10.10 - - - Loại hạt mịn có kích thước nhỏ hơn hoặc bằng 0,25 mm 2510.20.10.20 - - - Loại hạt có kích thước trên 0,25 mm đến 15 mm 2510.20.10.90 - - - Loại khác 2510.20.90 - - Loại khác 25.11 Bari sulphat tự nhiên (barytes); bari carbonat tự nhiên (witherite), đã hoặc chưa nung, trừ bari oxit thuộc nhóm 28.16.</w:t>
      </w:r>
    </w:p>
    <w:p>
      <w:pPr>
        <w:spacing w:after="120" w:line="360"/>
      </w:pPr>
      <w:r>
        <w:rPr>
          <w:rFonts w:ascii="Times New Roman" w:cs="Times New Roman" w:eastAsia="Times New Roman" w:hAnsi="Times New Roman"/>
          <w:sz w:val="26"/>
          <w:szCs w:val="26"/>
        </w:rPr>
        <w:t xml:space="preserve">2511.10.00 - Bari sulphat tự nhiên (barytes) 2511.20.00 - Bari carbonat tự nhiên (witherite) 2512.00.00 Bột hóa thạch silic (ví dụ, đất tảo cát, tripolite và diatomite) và đất silic tương tự, đã hoặc chưa nung, có trọng lượng riêng biểu kiến không quá 1.</w:t>
      </w:r>
    </w:p>
    <w:p>
      <w:pPr>
        <w:spacing w:after="120" w:line="360"/>
      </w:pPr>
      <w:r>
        <w:rPr>
          <w:rFonts w:ascii="Times New Roman" w:cs="Times New Roman" w:eastAsia="Times New Roman" w:hAnsi="Times New Roman"/>
          <w:sz w:val="26"/>
          <w:szCs w:val="26"/>
        </w:rPr>
        <w:t xml:space="preserve">25.13 Đá bọt; đá nhám; corundum tự nhiên, đá garnet tự nhiên và đá mài tự nhiên khác, đã hoặc chưa qua xử lý nhiệt.</w:t>
      </w:r>
    </w:p>
    <w:p>
      <w:pPr>
        <w:spacing w:after="120" w:line="360"/>
      </w:pPr>
      <w:r>
        <w:rPr>
          <w:rFonts w:ascii="Times New Roman" w:cs="Times New Roman" w:eastAsia="Times New Roman" w:hAnsi="Times New Roman"/>
          <w:sz w:val="26"/>
          <w:szCs w:val="26"/>
        </w:rPr>
        <w:t xml:space="preserve">2513.10.00 - Đá bọt 2513.20.00 - Đá nhám, corundum tự nhiên, đá garnet tự nhiên và đá mài tự nhiên khác 2514.00.00 Đá phiến, đã hoặc chưa đẽo thô hoặc mới chỉ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25.15 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p>
      <w:pPr>
        <w:spacing w:after="120" w:line="360"/>
      </w:pPr>
      <w:r>
        <w:rPr>
          <w:rFonts w:ascii="Times New Roman" w:cs="Times New Roman" w:eastAsia="Times New Roman" w:hAnsi="Times New Roman"/>
          <w:sz w:val="26"/>
          <w:szCs w:val="26"/>
        </w:rPr>
        <w:t xml:space="preserve">- Đá hoa (marble) và đá travertine: 2515.11.00 - - Thô hoặc đã đẽo thô 2515.12 - - Mới chỉ cắt, bằng cưa hoặc cách khác, thành các khối hoặc tấm hình chữ nhật (kể cả hình vuông): 2515.12.10 - - - Dạng khối: 2515.12.10.10 - - - - Đá hoa trắng 2515.12.10.90 - - - - Loại khác 2515.12.20 - - - Dạng tấm 2515.20.00 - Ecaussine và đá vôi khác để làm tượng đài hoặc đá xây dựng; thạch cao tuyết hoa: 2515.20.00.10 - - Đá vôi trắng dạng khối 2515.20.00.90 - - Loại khác 25.16 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 Granit: 2516.11.00 - - Thô hoặc đã đẽo thô 2516.12 - - Mới chỉ cắt, bằng cưa hoặc cách khác, thành các khối hoặc tấm hình chữ nhật (kể cả hình vuông): 2516.12.10 - - - Dạng khối 2516.12.20 - - - Dạng tấm 2516.20 - Đá cát kết: 2516.20.10 - - Thô hoặc đã đẽo thô 2516.20.20 - - Mới chỉ cắt, bằng cưa hoặc cách khác, thành khối hoặc tấm hình chữ nhật (kể cả hình vuông) 2516.90.00 - Đá khác để làm tượng đài hoặc làm đá xây dựng 25.17 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p>
      <w:pPr>
        <w:spacing w:after="120" w:line="360"/>
      </w:pPr>
      <w:r>
        <w:rPr>
          <w:rFonts w:ascii="Times New Roman" w:cs="Times New Roman" w:eastAsia="Times New Roman" w:hAnsi="Times New Roman"/>
          <w:sz w:val="26"/>
          <w:szCs w:val="26"/>
        </w:rPr>
        <w:t xml:space="preserve">2517.10.00 - Đá cuội, sỏi, đá đã vỡ hoặc nghiền, chủ yếu để làm cốt bê tông, để rải đường bộ hay đường sắt hoặc đá ballast khác, đá cuội nhỏ và đá lửa tự nhiên (flint) khác, đã hoặc chưa qua xử lý nhiệt: 2517.10.00.10 - - Loại có kích cỡ đến 400 mm 2517.10.00.90 - - Loại khác 2517.20.00 - Đá dăm từ xỉ, từ xỉ luyện kim hoặc từ phế thải công nghiệp tương tự, có hoặc không kết hợp với các vật liệu của phân nhóm 2517.10 2517.30.00 - Đá dăm trộn nhựa đường - Đá ở dạng viên, mảnh và bột, làm từ các loại đá thuộc nhóm 25.15 hoặc 25.16, đã hoặc chưa qua xử lý nhiệt: 2517.41.00 - - Từ đá hoa (marble): 2517.41.00.20 - - - Bột cacbonat canxi được sản xuất từ loại đá thuộc nhóm 25.15, có kích thước hạt trên 0,125 mm đến dưới 1mm 2517.41.00.30 - - - Loại có kích cỡ đến 400 mm 2517.41.00.90 - - - Loại khác 2517.49.00 - - Loại khác: 2517.49.00.20 - - - Bột cacbonat canxi được sản xuất từ loại đá thuộc nhóm 25.15, có kích thước hạt trên 0,125 mm đến dưới 1mm 2517.49.00.30 - - - Loại có kích cỡ đến 400 mm 2517.49.00.90 - - - Loại khác 25.18 Dolomite, đã hoặc chưa nung hoặc thiêu kết, kể cả dolomite đã đẽo thô hay mới chỉ cắt bằng cưa hoặc các cách khác, thành các khối hoặc tấm hình chữ nhật (kể cả hình vuông).</w:t>
      </w:r>
    </w:p>
    <w:p>
      <w:pPr>
        <w:spacing w:after="120" w:line="360"/>
      </w:pPr>
      <w:r>
        <w:rPr>
          <w:rFonts w:ascii="Times New Roman" w:cs="Times New Roman" w:eastAsia="Times New Roman" w:hAnsi="Times New Roman"/>
          <w:sz w:val="26"/>
          <w:szCs w:val="26"/>
        </w:rPr>
        <w:t xml:space="preserve">2518.10.00 - Dolomite, chưa nung hoặc thiêu kết 2518.20.00 - Dolomite đã nung hoặc thiêu kết 25.19 Magiê carbonat tự nhiên (magiesite); magiê ôxít nấu chảy; magiê ôxít nung trơ (thiêu kết), có hoặc không thêm một lượng nhỏ ôxít khác trước khi thiêu kết; magiê ôxít khác, tinh khiết hoặc không tinh khiết.</w:t>
      </w:r>
    </w:p>
    <w:p>
      <w:pPr>
        <w:spacing w:after="120" w:line="360"/>
      </w:pPr>
      <w:r>
        <w:rPr>
          <w:rFonts w:ascii="Times New Roman" w:cs="Times New Roman" w:eastAsia="Times New Roman" w:hAnsi="Times New Roman"/>
          <w:sz w:val="26"/>
          <w:szCs w:val="26"/>
        </w:rPr>
        <w:t xml:space="preserve">2519.10.00 - Magiê carbonat tự nhiên (magnesite) 2519.90 - Loại khác: 2519.90.10 - - Magiê ôxit nấu chảy; magiê ôxit nung trơ (thiêu kết) 2519.90.90 - - Loại khác 25.20 Thạch cao; thạch cao khan; thạch cao plaster (bao gồm thạch cao nung hoặc canxi sulphat đã nung), đã hoặc chưa nhuộm màu, có hoặc không thêm một lượng nhỏ chất xúc tác hoặc chất ức chế.</w:t>
      </w:r>
    </w:p>
    <w:p>
      <w:pPr>
        <w:spacing w:after="120" w:line="360"/>
      </w:pPr>
      <w:r>
        <w:rPr>
          <w:rFonts w:ascii="Times New Roman" w:cs="Times New Roman" w:eastAsia="Times New Roman" w:hAnsi="Times New Roman"/>
          <w:sz w:val="26"/>
          <w:szCs w:val="26"/>
        </w:rPr>
        <w:t xml:space="preserve">2520.10.00 - Thạch cao; thạch cao khan 2520.20 - Thạch cao plaster: 2520.20.10 - - Loại phù hợp dùng trong nha khoa 2520.20.90 - - Loại khác 2521.00.00 Chất gây chảy gốc đá vôi; đá vôi và đá có chứa canxi khác, dùng để sản xuất vôi hoặc xi măng.</w:t>
      </w:r>
    </w:p>
    <w:p>
      <w:pPr>
        <w:spacing w:after="120" w:line="360"/>
      </w:pPr>
      <w:r>
        <w:rPr>
          <w:rFonts w:ascii="Times New Roman" w:cs="Times New Roman" w:eastAsia="Times New Roman" w:hAnsi="Times New Roman"/>
          <w:sz w:val="26"/>
          <w:szCs w:val="26"/>
        </w:rPr>
        <w:t xml:space="preserve">25.22 Vôi sống, vôi tôi và vôi thủy lực, trừ oxit canxi và hydroxit canxi thuộc nhóm 28.25.</w:t>
      </w:r>
    </w:p>
    <w:p>
      <w:pPr>
        <w:spacing w:after="120" w:line="360"/>
      </w:pPr>
      <w:r>
        <w:rPr>
          <w:rFonts w:ascii="Times New Roman" w:cs="Times New Roman" w:eastAsia="Times New Roman" w:hAnsi="Times New Roman"/>
          <w:sz w:val="26"/>
          <w:szCs w:val="26"/>
        </w:rPr>
        <w:t xml:space="preserve">2522.10.00 - Vôi sống 2522.20.00 - Vôi tôi 2522.30.00 - Vôi thủy lực 25.24 Amiăng.</w:t>
      </w:r>
    </w:p>
    <w:p>
      <w:pPr>
        <w:spacing w:after="120" w:line="360"/>
      </w:pPr>
      <w:r>
        <w:rPr>
          <w:rFonts w:ascii="Times New Roman" w:cs="Times New Roman" w:eastAsia="Times New Roman" w:hAnsi="Times New Roman"/>
          <w:sz w:val="26"/>
          <w:szCs w:val="26"/>
        </w:rPr>
        <w:t xml:space="preserve">2524.10.00 - Crocidolite 2524.90.00 - Loại khác 25.25 Mi ca, kể cả mi ca tách lớp; phế liệu mi ca.</w:t>
      </w:r>
    </w:p>
    <w:p>
      <w:pPr>
        <w:spacing w:after="120" w:line="360"/>
      </w:pPr>
      <w:r>
        <w:rPr>
          <w:rFonts w:ascii="Times New Roman" w:cs="Times New Roman" w:eastAsia="Times New Roman" w:hAnsi="Times New Roman"/>
          <w:sz w:val="26"/>
          <w:szCs w:val="26"/>
        </w:rPr>
        <w:t xml:space="preserve">2525.10.00 - Mi ca thô và mi ca đã tách thành tấm hoặc lớp 2525.20.00 - Bột mi ca 2525.30.00 - Phế liệu mi ca 25.26 Quặng steatit tự nhiên, đã hoặc chưa đẽo thô hoặc mới chỉ cắt, bằng cưa hoặc các cách khác, thành các khối hoặc tấm hình chữ nhật (kể cả hình vuông); talc.</w:t>
      </w:r>
    </w:p>
    <w:p>
      <w:pPr>
        <w:spacing w:after="120" w:line="360"/>
      </w:pPr>
      <w:r>
        <w:rPr>
          <w:rFonts w:ascii="Times New Roman" w:cs="Times New Roman" w:eastAsia="Times New Roman" w:hAnsi="Times New Roman"/>
          <w:sz w:val="26"/>
          <w:szCs w:val="26"/>
        </w:rPr>
        <w:t xml:space="preserve">2526.10.00 - Chưa nghiền, chưa làm thành bột 2526.20 - Đã nghiền hoặc làm thành bột: 2526.20.10 - - Bột talc 2526.20.90 - - Loại khác 2528.00.00 Quặng borat tự nhiên và tinh quặng borat (đã hoặc chưa nung), nhưng không kể borat tách từ nước biển tự nhiên; axit boric tự nhiên chứa không quá 85% H 3 BO 3 tính theo trọng lượng khô.</w:t>
      </w:r>
    </w:p>
    <w:p>
      <w:pPr>
        <w:spacing w:after="120" w:line="360"/>
      </w:pPr>
      <w:r>
        <w:rPr>
          <w:rFonts w:ascii="Times New Roman" w:cs="Times New Roman" w:eastAsia="Times New Roman" w:hAnsi="Times New Roman"/>
          <w:sz w:val="26"/>
          <w:szCs w:val="26"/>
        </w:rPr>
        <w:t xml:space="preserve">25.29 Tràng thạch (đá bồ tát); lơxit (leucite), nephelin và nephelin xienit; khoáng fluorite.</w:t>
      </w:r>
    </w:p>
    <w:p>
      <w:pPr>
        <w:spacing w:after="120" w:line="360"/>
      </w:pPr>
      <w:r>
        <w:rPr>
          <w:rFonts w:ascii="Times New Roman" w:cs="Times New Roman" w:eastAsia="Times New Roman" w:hAnsi="Times New Roman"/>
          <w:sz w:val="26"/>
          <w:szCs w:val="26"/>
        </w:rPr>
        <w:t xml:space="preserve">2529.10 - Tràng thạch (đá bồ tát): 2529.10.10 - - Potash tràng thạch; soda tràng thạch 2529.10.90 - - Loại khác - Khoáng fluorite: 2529.21.00 - - Có chứa canxi florua không quá 97% tính theo khối lượng 2529.22.00 - - Có chứa canxi florua trên 97%) tính theo khối lượng 2529.30.00 - Lơxit; nephelin và nephelin xienit 25.30 Các chất khoáng chưa được chi tiết hoặc ghi ở nơi khác.</w:t>
      </w:r>
    </w:p>
    <w:p>
      <w:pPr>
        <w:spacing w:after="120" w:line="360"/>
      </w:pPr>
      <w:r>
        <w:rPr>
          <w:rFonts w:ascii="Times New Roman" w:cs="Times New Roman" w:eastAsia="Times New Roman" w:hAnsi="Times New Roman"/>
          <w:sz w:val="26"/>
          <w:szCs w:val="26"/>
        </w:rPr>
        <w:t xml:space="preserve">2530.10.00 - Vermiculite, đá trân châu và clorit, chưa giãn nở 2530.20 - Kiezerit, epsomit (magiê sulphat tự nhiên): 2530.20.10 - - Kiezerit 2530.20.20 - - Epsomite (magiê sulphat tự nhiên) 2530.90 - Loại khác: 2530.90.10 - - Cát zircon cỡ hạt micron (zircon silicat) loại dùng làm chất cản quang 2530.90.90 - - Loại khác: 2530.90.90.10 - - - Quặng đất hiếm 2530.90.90.90 - - - Loại khác Chương 26 Quặng, xỉ và tro 26.01 Quặng sắt và tinh quặng sắt, kể cả pirit sắt đã nung.</w:t>
      </w:r>
    </w:p>
    <w:p>
      <w:pPr>
        <w:spacing w:after="120" w:line="360"/>
      </w:pPr>
      <w:r>
        <w:rPr>
          <w:rFonts w:ascii="Times New Roman" w:cs="Times New Roman" w:eastAsia="Times New Roman" w:hAnsi="Times New Roman"/>
          <w:sz w:val="26"/>
          <w:szCs w:val="26"/>
        </w:rPr>
        <w:t xml:space="preserve">- Quặng sắt và tinh quặng sắt, trừ pirit sắt đã nung: 2601.11 - - Chưa nung kết: 2601.11.10 - - - Hematite và tinh quặng hematite 2601.11.90 - - - Loại khác: 2601.11.90.10 - - - - Tinh quặng sắt hàm lượng cao (Fe ≥ 68%; SiO2 ≤ 3,6%; Al2O3 ≤ 0,3%; TiO2 ≤ 0,002%; P ≤ 0,001%; CaO ≤ 0,02%; MgO ≤ 0,4%; K2O ≤ 0,01%; Na2O ≤ 0,030%; Cu ≤ 0,002%; Zn ≤ 0,004%; Mn ≤ 0,2%; MKN ≤ 0, 01%; S ≤ 0,01%) 2601.11.90.90 - - - - Loại khác 2601.12 - - Đã nung kết: 2601.12.10 - - - Hematite và tinh quặng hematite 2601.12.90 - - - Loại khác: 2601.12.90.10 - - - - Tinh quặng sắt hàm lượng cao (Fe ≥ 68%; SiO2 ≤ 3,6%; Al2O3 ≤ 0,3%; TiO2 ≤ 0,002%; P ≤ 0,001%; CaO ≤ 0,02%; MgO ≤ 0,4%; K2O ≤ 0,01%; Na2O ≤ 0,030%; Cu ≤ 0,002%; Zn ≤ 0,004%; Mn ≤ 0,2%; MKN ≤ 0, 01%; S ≤ 0,01%) 2601.12.90.90 - - - - Loại khác 2601.20.00 - Pirit sắt đã nung 2602.00.00 Quặng mangan và tinh quặng mangan, kể cả quặng mangan chứa sắt và tinh quặng mangan chứa sắt với hàm lượng mangan từ 20% trở lên, tính theo trọng lượng khô.</w:t>
      </w:r>
    </w:p>
    <w:p>
      <w:pPr>
        <w:spacing w:after="120" w:line="360"/>
      </w:pPr>
      <w:r>
        <w:rPr>
          <w:rFonts w:ascii="Times New Roman" w:cs="Times New Roman" w:eastAsia="Times New Roman" w:hAnsi="Times New Roman"/>
          <w:sz w:val="26"/>
          <w:szCs w:val="26"/>
        </w:rPr>
        <w:t xml:space="preserve">2603.00.00 Quặng đồng và tinh quặng đồng.</w:t>
      </w:r>
    </w:p>
    <w:p>
      <w:pPr>
        <w:spacing w:after="120" w:line="360"/>
      </w:pPr>
      <w:r>
        <w:rPr>
          <w:rFonts w:ascii="Times New Roman" w:cs="Times New Roman" w:eastAsia="Times New Roman" w:hAnsi="Times New Roman"/>
          <w:sz w:val="26"/>
          <w:szCs w:val="26"/>
        </w:rPr>
        <w:t xml:space="preserve">26.04 Quặng niken và tinh quặng niken.</w:t>
      </w:r>
    </w:p>
    <w:p>
      <w:pPr>
        <w:spacing w:after="120" w:line="360"/>
      </w:pPr>
      <w:r>
        <w:rPr>
          <w:rFonts w:ascii="Times New Roman" w:cs="Times New Roman" w:eastAsia="Times New Roman" w:hAnsi="Times New Roman"/>
          <w:sz w:val="26"/>
          <w:szCs w:val="26"/>
        </w:rPr>
        <w:t xml:space="preserve">2604.00.00.10 - Quặng thô 2604.00.00.90 - Tinh quặng 26.05 Quặng coban và tinh quặng coban.</w:t>
      </w:r>
    </w:p>
    <w:p>
      <w:pPr>
        <w:spacing w:after="120" w:line="360"/>
      </w:pPr>
      <w:r>
        <w:rPr>
          <w:rFonts w:ascii="Times New Roman" w:cs="Times New Roman" w:eastAsia="Times New Roman" w:hAnsi="Times New Roman"/>
          <w:sz w:val="26"/>
          <w:szCs w:val="26"/>
        </w:rPr>
        <w:t xml:space="preserve">2605.00.00.10 - Quặng thô 2605.00.00.90 - Tinh quặng 26.06 Quặng nhôm và tinh quặng nhôm.</w:t>
      </w:r>
    </w:p>
    <w:p>
      <w:pPr>
        <w:spacing w:after="120" w:line="360"/>
      </w:pPr>
      <w:r>
        <w:rPr>
          <w:rFonts w:ascii="Times New Roman" w:cs="Times New Roman" w:eastAsia="Times New Roman" w:hAnsi="Times New Roman"/>
          <w:sz w:val="26"/>
          <w:szCs w:val="26"/>
        </w:rPr>
        <w:t xml:space="preserve">2606.00.00.10 - Quặng thô 2606.00.00.90 - Tinh quặng 2607.00.00 Quặng chì và tinh quặng chì.</w:t>
      </w:r>
    </w:p>
    <w:p>
      <w:pPr>
        <w:spacing w:after="120" w:line="360"/>
      </w:pPr>
      <w:r>
        <w:rPr>
          <w:rFonts w:ascii="Times New Roman" w:cs="Times New Roman" w:eastAsia="Times New Roman" w:hAnsi="Times New Roman"/>
          <w:sz w:val="26"/>
          <w:szCs w:val="26"/>
        </w:rPr>
        <w:t xml:space="preserve">2608.00.00 Quặng kẽm và tinh quặng kẽm.</w:t>
      </w:r>
    </w:p>
    <w:p>
      <w:pPr>
        <w:spacing w:after="120" w:line="360"/>
      </w:pPr>
      <w:r>
        <w:rPr>
          <w:rFonts w:ascii="Times New Roman" w:cs="Times New Roman" w:eastAsia="Times New Roman" w:hAnsi="Times New Roman"/>
          <w:sz w:val="26"/>
          <w:szCs w:val="26"/>
        </w:rPr>
        <w:t xml:space="preserve">26.09 Quặng thiếc và tinh quặng thiếc.</w:t>
      </w:r>
    </w:p>
    <w:p>
      <w:pPr>
        <w:spacing w:after="120" w:line="360"/>
      </w:pPr>
      <w:r>
        <w:rPr>
          <w:rFonts w:ascii="Times New Roman" w:cs="Times New Roman" w:eastAsia="Times New Roman" w:hAnsi="Times New Roman"/>
          <w:sz w:val="26"/>
          <w:szCs w:val="26"/>
        </w:rPr>
        <w:t xml:space="preserve">2609.00.00.10 - Quặng thô 2609.00.00.90 - Tinh quặng 2610.00.00 Quặng crôm và tinh quặng crôm.</w:t>
      </w:r>
    </w:p>
    <w:p>
      <w:pPr>
        <w:spacing w:after="120" w:line="360"/>
      </w:pPr>
      <w:r>
        <w:rPr>
          <w:rFonts w:ascii="Times New Roman" w:cs="Times New Roman" w:eastAsia="Times New Roman" w:hAnsi="Times New Roman"/>
          <w:sz w:val="26"/>
          <w:szCs w:val="26"/>
        </w:rPr>
        <w:t xml:space="preserve">26.11 Quặng vonfram và tinh quặng vonfram.</w:t>
      </w:r>
    </w:p>
    <w:p>
      <w:pPr>
        <w:spacing w:after="120" w:line="360"/>
      </w:pPr>
      <w:r>
        <w:rPr>
          <w:rFonts w:ascii="Times New Roman" w:cs="Times New Roman" w:eastAsia="Times New Roman" w:hAnsi="Times New Roman"/>
          <w:sz w:val="26"/>
          <w:szCs w:val="26"/>
        </w:rPr>
        <w:t xml:space="preserve">2611.00.00.10 - Quặng thô 2611.00.00.90 - Tinh quặng 26.12 Quặng urani hoặc quặng thori và tinh quặng urani hoặc tinh quặng thori.</w:t>
      </w:r>
    </w:p>
    <w:p>
      <w:pPr>
        <w:spacing w:after="120" w:line="360"/>
      </w:pPr>
      <w:r>
        <w:rPr>
          <w:rFonts w:ascii="Times New Roman" w:cs="Times New Roman" w:eastAsia="Times New Roman" w:hAnsi="Times New Roman"/>
          <w:sz w:val="26"/>
          <w:szCs w:val="26"/>
        </w:rPr>
        <w:t xml:space="preserve">2612.10.00 - Quặng urani và tinh quặng urani: 2612.10.00.10 - - Quặng thô 2612.10.00.90 - - Tinh quặng 2612.20.00 - Quặng thori và tinh quặng thori: 2612.20.00.10 - - Quặng thô 2612.20.00.90 - - Tinh quặng 26.13 Quặng molipden và tinh quặng molipden.</w:t>
      </w:r>
    </w:p>
    <w:p>
      <w:pPr>
        <w:spacing w:after="120" w:line="360"/>
      </w:pPr>
      <w:r>
        <w:rPr>
          <w:rFonts w:ascii="Times New Roman" w:cs="Times New Roman" w:eastAsia="Times New Roman" w:hAnsi="Times New Roman"/>
          <w:sz w:val="26"/>
          <w:szCs w:val="26"/>
        </w:rPr>
        <w:t xml:space="preserve">2613.10.00 - Đã nung 2613.90.00 - Loại khác: 2613.90.00.10 - - Quặng thô 2613.90.00.90 - - Tinh quặng 26.14 Quặng titan và tinh quặng titan.</w:t>
      </w:r>
    </w:p>
    <w:p>
      <w:pPr>
        <w:spacing w:after="120" w:line="360"/>
      </w:pPr>
      <w:r>
        <w:rPr>
          <w:rFonts w:ascii="Times New Roman" w:cs="Times New Roman" w:eastAsia="Times New Roman" w:hAnsi="Times New Roman"/>
          <w:sz w:val="26"/>
          <w:szCs w:val="26"/>
        </w:rPr>
        <w:t xml:space="preserve">2614.00.10 - Quặng inmenit và tinh quặng inmenit: 2614.00.10.10 - - Tinh quặng inmenit 2614.00.10.90 - - Loại khác 2614.00.90 - Loại khác: 2614.00.90.10 - - Tinh quặng rutil 83%≤TiO2≤ 87% 2614.00.90.90 - - Loại khác 26.15 Quặng niobi, tantali, vanadi hoặc zircon và tinh quặng của các loại quặng đó.</w:t>
      </w:r>
    </w:p>
    <w:p>
      <w:pPr>
        <w:spacing w:after="120" w:line="360"/>
      </w:pPr>
      <w:r>
        <w:rPr>
          <w:rFonts w:ascii="Times New Roman" w:cs="Times New Roman" w:eastAsia="Times New Roman" w:hAnsi="Times New Roman"/>
          <w:sz w:val="26"/>
          <w:szCs w:val="26"/>
        </w:rPr>
        <w:t xml:space="preserve">2615.10.00 - Quặng zircon và tinh quặng zircon: 2615.10.00.10 - - Quặng thô - - Tinh quặng: 2615.10.00.20 - - - Bột zircon siêu mịn cỡ hạt nhỏ hơn 75µm (micrô mét) 2615.10.00.90 - - - Loại khác 2615.90.00 - Loại khác: - - Niobi: 2615.90.00.10 - - - Quặng thô 2615.90.00.20 - - - Tinh quặng - - Loại khác: 2615.90.00.30 - - - Quặng thô 2615.90.00.90 - - - Tinh quặng 26.16 Quặng kim loại quý và tinh quặng kim loại quý.</w:t>
      </w:r>
    </w:p>
    <w:p>
      <w:pPr>
        <w:spacing w:after="120" w:line="360"/>
      </w:pPr>
      <w:r>
        <w:rPr>
          <w:rFonts w:ascii="Times New Roman" w:cs="Times New Roman" w:eastAsia="Times New Roman" w:hAnsi="Times New Roman"/>
          <w:sz w:val="26"/>
          <w:szCs w:val="26"/>
        </w:rPr>
        <w:t xml:space="preserve">2616.10.00 - Quặng bạc và tinh quặng bạc: 2616.10.00.10 - - Quặng thô 2616.10.00.90 - - Tinh quặng 2616.90.00 - Loại khác: 2616.90.00.10 - - Quặng vàng - - Loại khác: 2616.90.00.20 - - - Quặng thô 2616.90.00.90 - - - Tinh quặng 26.17 Các quặng khác và tinh quặng của các quặng đó.</w:t>
      </w:r>
    </w:p>
    <w:p>
      <w:pPr>
        <w:spacing w:after="120" w:line="360"/>
      </w:pPr>
      <w:r>
        <w:rPr>
          <w:rFonts w:ascii="Times New Roman" w:cs="Times New Roman" w:eastAsia="Times New Roman" w:hAnsi="Times New Roman"/>
          <w:sz w:val="26"/>
          <w:szCs w:val="26"/>
        </w:rPr>
        <w:t xml:space="preserve">2617.10.00 - Quặng antimon và tinh quặng antimon: 2617.10.00.10 - - Quặng thô 2617.10.00.90 - - Tinh quặng 2617.90.00 - Loại khác: 2617.90.00.10 - - Quặng thô 2617.90.00.90 - - Tinh quặng 2618.00.00 Xỉ hạt (xỉ cát) từ công nghiệp luyện sắt hoặc thép.</w:t>
      </w:r>
    </w:p>
    <w:p>
      <w:pPr>
        <w:spacing w:after="120" w:line="360"/>
      </w:pPr>
      <w:r>
        <w:rPr>
          <w:rFonts w:ascii="Times New Roman" w:cs="Times New Roman" w:eastAsia="Times New Roman" w:hAnsi="Times New Roman"/>
          <w:sz w:val="26"/>
          <w:szCs w:val="26"/>
        </w:rPr>
        <w:t xml:space="preserve">2619.00.00 Xỉ, xỉ luyện kim (trừ xỉ hạt), vụn xỉ và các phế thải khác từ công nghiệp luyện sắt hoặc thép.</w:t>
      </w:r>
    </w:p>
    <w:p>
      <w:pPr>
        <w:spacing w:after="120" w:line="360"/>
      </w:pPr>
      <w:r>
        <w:rPr>
          <w:rFonts w:ascii="Times New Roman" w:cs="Times New Roman" w:eastAsia="Times New Roman" w:hAnsi="Times New Roman"/>
          <w:sz w:val="26"/>
          <w:szCs w:val="26"/>
        </w:rPr>
        <w:t xml:space="preserve">26.20 Xỉ, tro và cặn (trừ loại thu được từ quá trình sản xuất sắt hoặc thép), có chứa kim loại, arsen hoặc các hợp chất của chúng.</w:t>
      </w:r>
    </w:p>
    <w:p>
      <w:pPr>
        <w:spacing w:after="120" w:line="360"/>
      </w:pPr>
      <w:r>
        <w:rPr>
          <w:rFonts w:ascii="Times New Roman" w:cs="Times New Roman" w:eastAsia="Times New Roman" w:hAnsi="Times New Roman"/>
          <w:sz w:val="26"/>
          <w:szCs w:val="26"/>
        </w:rPr>
        <w:t xml:space="preserve">- Chứa chủ yếu là kẽm: 2620.11.00 - - Kẽm tạp chất cứng (sten tráng kẽm) 2620.19.00 - - Loại khác - Chứa chủ yếu là chì: 2620.21.00 - - Cặn của xăng pha chì và cặn của hợp chất chì chống kích nổ 2620.29.00 - - Loại khác 2620.30.00 - Chứa chủ yếu là đồng 2620.40.00 - Chứa chủ yếu là nhôm 2620.60.00 - Chứa arsen, thuỷ ngân, tali hoặc hỗn hợp của chúng, là loại dùng để tách arsen hoặc những kim loại trên hoặc dùng để sản xuất các hợp chất hóa học của chúng - Loại khác: 2620.91.00 - - Chứa antimon, berily, cađimi, crom hoặc các hỗn hợp của chúng 2620.99 - - Loại khác: 2620.99.10 - - - Xỉ và phần chưa cháy hết (hardhead) của thiếc 2620.99.90 - - - Loại khác 26.21 Xỉ và tro khác, kể cả tro tảo biển (tảo bẹ); tro và cặn từ quá trình đốt rác thải đô thị.</w:t>
      </w:r>
    </w:p>
    <w:p>
      <w:pPr>
        <w:spacing w:after="120" w:line="360"/>
      </w:pPr>
      <w:r>
        <w:rPr>
          <w:rFonts w:ascii="Times New Roman" w:cs="Times New Roman" w:eastAsia="Times New Roman" w:hAnsi="Times New Roman"/>
          <w:sz w:val="26"/>
          <w:szCs w:val="26"/>
        </w:rPr>
        <w:t xml:space="preserve">2621.90.90 - - Loại khác 2621.90.90.10 - - - - Xỉ than Chương 27 Nhiên liệu khoáng, dầu khoáng và các sản phẩm chưng cất từ chúng; các chất chứa bi-tum; các loại sáp khoáng chất 27.01 Than đá; than bánh, than quả bàng và nhiên liệu rắn tương tự sản xuất từ than đá.</w:t>
      </w:r>
    </w:p>
    <w:p>
      <w:pPr>
        <w:spacing w:after="120" w:line="360"/>
      </w:pPr>
      <w:r>
        <w:rPr>
          <w:rFonts w:ascii="Times New Roman" w:cs="Times New Roman" w:eastAsia="Times New Roman" w:hAnsi="Times New Roman"/>
          <w:sz w:val="26"/>
          <w:szCs w:val="26"/>
        </w:rPr>
        <w:t xml:space="preserve">- Than đá, đã hoặc chưa nghiền thành bột, nhưng chưa đóng bánh: 2701.11.00 - - Anthracite 2701.12 - - Than bi-tum: 2701.12.10 - - - Than để luyện cốc 2701.12.90 - - - Loại khác 2701.19.00 - - Than đá loại khác 2701.20.00 - Than bánh, than quả bàng và nhiên liệu rắn tương tự sản xuất từ than đá 27.02 Than non, đã hoặc chưa đóng bánh, trừ than huyền.</w:t>
      </w:r>
    </w:p>
    <w:p>
      <w:pPr>
        <w:spacing w:after="120" w:line="360"/>
      </w:pPr>
      <w:r>
        <w:rPr>
          <w:rFonts w:ascii="Times New Roman" w:cs="Times New Roman" w:eastAsia="Times New Roman" w:hAnsi="Times New Roman"/>
          <w:sz w:val="26"/>
          <w:szCs w:val="26"/>
        </w:rPr>
        <w:t xml:space="preserve">2702.10.00 - Than non, đã hoặc chưa nghiền thành bột, nhưng chưa đóng bánh 2702.20.00 - Than non đã đóng bánh 27.03 Than bùn (kể cả bùn rác), đã hoặc chưa đóng bánh.</w:t>
      </w:r>
    </w:p>
    <w:p>
      <w:pPr>
        <w:spacing w:after="120" w:line="360"/>
      </w:pPr>
      <w:r>
        <w:rPr>
          <w:rFonts w:ascii="Times New Roman" w:cs="Times New Roman" w:eastAsia="Times New Roman" w:hAnsi="Times New Roman"/>
          <w:sz w:val="26"/>
          <w:szCs w:val="26"/>
        </w:rPr>
        <w:t xml:space="preserve">2703.00.10 - Than bùn, đã hoặc chưa ép thành kiện, nhưng chưa đóng bánh 2703.00.20 - Than bùn đã đóng bánh 27.04 Than cốc và than nửa cốc luyện từ than đá, than non hoặc than bùn, đã hoặc chưa đóng bánh; muội bình chưng than đá.</w:t>
      </w:r>
    </w:p>
    <w:p>
      <w:pPr>
        <w:spacing w:after="120" w:line="360"/>
      </w:pPr>
      <w:r>
        <w:rPr>
          <w:rFonts w:ascii="Times New Roman" w:cs="Times New Roman" w:eastAsia="Times New Roman" w:hAnsi="Times New Roman"/>
          <w:sz w:val="26"/>
          <w:szCs w:val="26"/>
        </w:rPr>
        <w:t xml:space="preserve">2704.00.10 - Than cốc và than nửa cốc luyện từ than đá 2704.00.20 - Than cốc và than nửa cốc luyện từ than non hoặc than bùn 2704.00.30 - Muội bình chưng than đá 27.09 Dầu mỏ và các loại dầu thu được từ các khoáng bi-tum, ở dạng thô.</w:t>
      </w:r>
    </w:p>
    <w:p>
      <w:pPr>
        <w:spacing w:after="120" w:line="360"/>
      </w:pPr>
      <w:r>
        <w:rPr>
          <w:rFonts w:ascii="Times New Roman" w:cs="Times New Roman" w:eastAsia="Times New Roman" w:hAnsi="Times New Roman"/>
          <w:sz w:val="26"/>
          <w:szCs w:val="26"/>
        </w:rPr>
        <w:t xml:space="preserve">2709.00.10 - Dầu mỏ thô 2709.00.20 - Condensate 27.11 Khí dầu mỏ và các loại khí hydrocarbon khác.</w:t>
      </w:r>
    </w:p>
    <w:p>
      <w:pPr>
        <w:spacing w:after="120" w:line="360"/>
      </w:pPr>
      <w:r>
        <w:rPr>
          <w:rFonts w:ascii="Times New Roman" w:cs="Times New Roman" w:eastAsia="Times New Roman" w:hAnsi="Times New Roman"/>
          <w:sz w:val="26"/>
          <w:szCs w:val="26"/>
        </w:rPr>
        <w:t xml:space="preserve">- Dạng hóa lỏng: 2711.11.00 - - Khí tự nhiên 2711.12.00 - - Propan 2711.13.00 - - Butan 2711.14 - - Etylen, propylen, butylen và butadien: 2711.14.10 - - - Etylen 2711.14.90 - - - Loại khác 2711.19.00 - - Loại khác - Dạng khí: 2711.21 - - Khí tự nhiên: 2711.21.10 - - - Loại sử dụng làm nhiên liệu động cơ 2711.21.90 - - - Loại khác 2711.29.00 - - Loại khác 27.12 Vazơlin (petroleum jelly); sáp parafin, sáp dầu lửa vi tinh thể, sáp than cám, ozokerite, sáp than non, sáp than bùn, sáp khoáng khác, và sản phẩm tương tự thu được từ qui trình tổng hợp hoặc qui trình khác, đã hoặc chưa nhuộm màu.</w:t>
      </w:r>
    </w:p>
    <w:p>
      <w:pPr>
        <w:spacing w:after="120" w:line="360"/>
      </w:pPr>
      <w:r>
        <w:rPr>
          <w:rFonts w:ascii="Times New Roman" w:cs="Times New Roman" w:eastAsia="Times New Roman" w:hAnsi="Times New Roman"/>
          <w:sz w:val="26"/>
          <w:szCs w:val="26"/>
        </w:rPr>
        <w:t xml:space="preserve">2712.10.00 - Vazơlin (petroleum jelly) 2712.2000 - Sáp parafin có hàm lượng dầu dưới 0,75% tính theo trọng lượng 2712.90 - Loại khác: 2712.90.10 - - Sáp parafin 2712.90.90 - - Loại khác 27.13 Cốc dầu mỏ, bi-tum dầu mỏ và các cặn khác từ dầu có nguồn gốc từ dầu mỏ hoặc từ các loại dầu thu được từ các khoáng bi-tum.</w:t>
      </w:r>
    </w:p>
    <w:p>
      <w:pPr>
        <w:spacing w:after="120" w:line="360"/>
      </w:pPr>
      <w:r>
        <w:rPr>
          <w:rFonts w:ascii="Times New Roman" w:cs="Times New Roman" w:eastAsia="Times New Roman" w:hAnsi="Times New Roman"/>
          <w:sz w:val="26"/>
          <w:szCs w:val="26"/>
        </w:rPr>
        <w:t xml:space="preserve">- Cốc dầu mỏ: 2713.11.00 - - Chưa nung 2713.12.00 - - Đã nung 2713.20.00 - Bi-tum dầu mỏ 2713.90.00 - Cặn khác từ dầu có nguồn gốc từ dầu mỏ hoặc từ các loại dầu thu được từ các khoáng bi-tum 27.14 Bi-tum và nhựa đường (asphalt), ở dạng tự nhiên; đá phiến sét dầu hoặc đá phiến sét bi-tum và cát hắc ín; asphaltit và đá chứa asphaltic.</w:t>
      </w:r>
    </w:p>
    <w:p>
      <w:pPr>
        <w:spacing w:after="120" w:line="360"/>
      </w:pPr>
      <w:r>
        <w:rPr>
          <w:rFonts w:ascii="Times New Roman" w:cs="Times New Roman" w:eastAsia="Times New Roman" w:hAnsi="Times New Roman"/>
          <w:sz w:val="26"/>
          <w:szCs w:val="26"/>
        </w:rPr>
        <w:t xml:space="preserve">2714.10.00 - Đá phiến sét dầu hoặc đá phiến sét bi-tum và cát hắc ín 2714.90.00 - Loại khác 27.15 Hỗn hợp chứa bi-tum dựa trên asphalt tự nhiên, bi-tum tự nhiên, bi- tum dầu mỏ, hắc ín khoáng chất hoặc nhựa hắc ín khoáng chất (ví dụ, matít có chứa bi-tum, cut-backs).</w:t>
      </w:r>
    </w:p>
    <w:p>
      <w:pPr>
        <w:spacing w:after="120" w:line="360"/>
      </w:pPr>
      <w:r>
        <w:rPr>
          <w:rFonts w:ascii="Times New Roman" w:cs="Times New Roman" w:eastAsia="Times New Roman" w:hAnsi="Times New Roman"/>
          <w:sz w:val="26"/>
          <w:szCs w:val="26"/>
        </w:rPr>
        <w:t xml:space="preserve">2715.00.10 - Chất phủ hắc ín polyurethan 2715.00.90 - Loại khác Ghi chú: Danh mục tại Phụ lục này bao gồm Mã hàng và Mô tả hàng hóa theo Danh mục hàng hóa xuất khẩu, nhập khẩu Việt Nam.</w:t>
      </w:r>
    </w:p>
    <w:p>
      <w:pPr>
        <w:spacing w:after="120" w:line="360"/>
      </w:pPr>
      <w:r>
        <w:rPr>
          <w:rFonts w:ascii="Times New Roman" w:cs="Times New Roman" w:eastAsia="Times New Roman" w:hAnsi="Times New Roman"/>
          <w:sz w:val="26"/>
          <w:szCs w:val="26"/>
        </w:rPr>
        <w:t xml:space="preserve">Tổ chức, cá nhân thực hiện tra cứu Danh mục hàng hóa xuất khẩu, nhập khẩu Việt Nam để áp dụng.</w:t>
      </w:r>
    </w:p>
    <w:p>
      <w:pPr>
        <w:spacing w:after="120" w:line="360"/>
      </w:pPr>
      <w:r>
        <w:rPr>
          <w:rFonts w:ascii="Times New Roman" w:cs="Times New Roman" w:eastAsia="Times New Roman" w:hAnsi="Times New Roman"/>
          <w:sz w:val="26"/>
          <w:szCs w:val="26"/>
        </w:rPr>
        <w:t xml:space="preserve">PHỤ LỤC II TÀI NGUYÊN, KHOÁNG SẢN KHAI THÁC ĐÃ CHẾ BIẾN THÀNH SẢN PHẨM KHÁC (Kèm theo Nghị định số 181/2025/NĐ-CP ngày 01 tháng 7 năm 2025 của Chính phủ) Mã hàng Mô tả hàng hoá Chương 28 Hoá chất vô cơ; các hợp chất vô cơ hoặc hữu cơ của kim loại quý, kim loại đất hiếm, các nguyên tố phóng xạ hoặc các chất đồng vị 28.04 Hydro, khí hiếm và các phi kim loại khác.</w:t>
      </w:r>
    </w:p>
    <w:p>
      <w:pPr>
        <w:spacing w:after="120" w:line="360"/>
      </w:pPr>
      <w:r>
        <w:rPr>
          <w:rFonts w:ascii="Times New Roman" w:cs="Times New Roman" w:eastAsia="Times New Roman" w:hAnsi="Times New Roman"/>
          <w:sz w:val="26"/>
          <w:szCs w:val="26"/>
        </w:rPr>
        <w:t xml:space="preserve">2804.70.00 - Phospho: 2804.70.00.10 - - Phospho vàng 28.11 Axit vô cơ khác và các hợp chất vô cơ chứa oxy khác của các phi kim loại.</w:t>
      </w:r>
    </w:p>
    <w:p>
      <w:pPr>
        <w:spacing w:after="120" w:line="360"/>
      </w:pPr>
      <w:r>
        <w:rPr>
          <w:rFonts w:ascii="Times New Roman" w:cs="Times New Roman" w:eastAsia="Times New Roman" w:hAnsi="Times New Roman"/>
          <w:sz w:val="26"/>
          <w:szCs w:val="26"/>
        </w:rPr>
        <w:t xml:space="preserve">- Hợp chất vô cơ chứa oxy khác của phi kim loại: 2811.22 - - Silic dioxit: 2811.22.10 - - - Dạng bột 28.17 Kẽm oxit; kẽm peroxit.</w:t>
      </w:r>
    </w:p>
    <w:p>
      <w:pPr>
        <w:spacing w:after="120" w:line="360"/>
      </w:pPr>
      <w:r>
        <w:rPr>
          <w:rFonts w:ascii="Times New Roman" w:cs="Times New Roman" w:eastAsia="Times New Roman" w:hAnsi="Times New Roman"/>
          <w:sz w:val="26"/>
          <w:szCs w:val="26"/>
        </w:rPr>
        <w:t xml:space="preserve">2817.00.10 - Kẽm oxit: 2817.00.10.10 - - Kẽm oxit dạng bột 28.23 Titan oxit.</w:t>
      </w:r>
    </w:p>
    <w:p>
      <w:pPr>
        <w:spacing w:after="120" w:line="360"/>
      </w:pPr>
      <w:r>
        <w:rPr>
          <w:rFonts w:ascii="Times New Roman" w:cs="Times New Roman" w:eastAsia="Times New Roman" w:hAnsi="Times New Roman"/>
          <w:sz w:val="26"/>
          <w:szCs w:val="26"/>
        </w:rPr>
        <w:t xml:space="preserve">2523.00.00.10 - Xỉ titan có hàm lượng TiO2 ≥ 85%, FeO ≤ 10% 2823.00.00.20 -Xỉ titan có hàm lượng 70% ≤ TiO2 &amp;lt; 85%, FeO ≤ 10% 2823.00.00.30 - Rutile có hàm lượng TiO2 &amp;gt; 87%) 2823.</w:t>
      </w:r>
    </w:p>
    <w:p>
      <w:pPr>
        <w:spacing w:after="120" w:line="360"/>
      </w:pPr>
      <w:r>
        <w:rPr>
          <w:rFonts w:ascii="Times New Roman" w:cs="Times New Roman" w:eastAsia="Times New Roman" w:hAnsi="Times New Roman"/>
          <w:sz w:val="26"/>
          <w:szCs w:val="26"/>
        </w:rPr>
        <w:t xml:space="preserve">00.00.40 - Inmenit hoàn nguyên có hàm lượng TiO2 ≥ 56%, FeO ≤ 11%) 28.36 Carbonat; peroxocarbonat (percarbonat); amoni carbonat thương phẩm có chứa amoni carbamat.</w:t>
      </w:r>
    </w:p>
    <w:p>
      <w:pPr>
        <w:spacing w:after="120" w:line="360"/>
      </w:pPr>
      <w:r>
        <w:rPr>
          <w:rFonts w:ascii="Times New Roman" w:cs="Times New Roman" w:eastAsia="Times New Roman" w:hAnsi="Times New Roman"/>
          <w:sz w:val="26"/>
          <w:szCs w:val="26"/>
        </w:rPr>
        <w:t xml:space="preserve">2836.50 - Canxi carbonat: 2836.50.90 - - Loại khác 28.49 Carbua, đã hoặc chưa xác định về mặt hóa học.</w:t>
      </w:r>
    </w:p>
    <w:p>
      <w:pPr>
        <w:spacing w:after="120" w:line="360"/>
      </w:pPr>
      <w:r>
        <w:rPr>
          <w:rFonts w:ascii="Times New Roman" w:cs="Times New Roman" w:eastAsia="Times New Roman" w:hAnsi="Times New Roman"/>
          <w:sz w:val="26"/>
          <w:szCs w:val="26"/>
        </w:rPr>
        <w:t xml:space="preserve">2849.20.00 - Của silic Chương 71 Ngọc trai tự nhiên hoặc nuôi cấy, đá quý hoặc đá bán quý, kim loại quý, kim loại được dát phủ kim loại quý, và các sản phẩm của chúng; đồ trang sức làm bằng chất liệu khác; tiền kim loại 71.02 Kim cương, đã hoặc chưa được gia công, nhưng chưa được gắn hoặc nạm dát.</w:t>
      </w:r>
    </w:p>
    <w:p>
      <w:pPr>
        <w:spacing w:after="120" w:line="360"/>
      </w:pPr>
      <w:r>
        <w:rPr>
          <w:rFonts w:ascii="Times New Roman" w:cs="Times New Roman" w:eastAsia="Times New Roman" w:hAnsi="Times New Roman"/>
          <w:sz w:val="26"/>
          <w:szCs w:val="26"/>
        </w:rPr>
        <w:t xml:space="preserve">7102.10.00 - Kim cương chưa được phân loại: 7102.10.00.10 - - Chưa gia công hoặc mới chỉ được cắt, tách một cách đơn giản hay mới chỉ được chuốt hoặc mài sơ qua 7102.10.00.90 - - Loại khác - Kim cương công nghiệp: 7102.21.00 - - Chưa gia công hoặc mới chỉ được cắt, tách một cách đơn giản hoặc mới chỉ được chuốt hoặc mài sơ qua 7102.29.00 - - Loại khác - Kim cương phi công nghiệp: 7102.31.00 - - Chưa gia công hoặc mới chỉ được cắt, tách một cách đơn giản hoặc mới chỉ được chuốt hoặc mài sơ qua 7102.39.00 - - Loại khác 71.03 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p>
      <w:pPr>
        <w:spacing w:after="120" w:line="360"/>
      </w:pPr>
      <w:r>
        <w:rPr>
          <w:rFonts w:ascii="Times New Roman" w:cs="Times New Roman" w:eastAsia="Times New Roman" w:hAnsi="Times New Roman"/>
          <w:sz w:val="26"/>
          <w:szCs w:val="26"/>
        </w:rPr>
        <w:t xml:space="preserve">7103.10 - Chưa gia công hoặc mới chỉ được cắt đơn giản hoặc tạo hình thô: 7103.10.10 - - Rubi 7103.10.20 - - Ngọc bích (nephrite và jadeite) 7103.10.90 - - Loại khác - Đã gia công cách khác: 7103.91 - - Rubi, saphia và ngọc lục bảo: 7103.91.10 - - - Rubi 7103.91.90 - - - Loại khác 7103.99.00 - - Loại khác 71.04 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p>
      <w:pPr>
        <w:spacing w:after="120" w:line="360"/>
      </w:pPr>
      <w:r>
        <w:rPr>
          <w:rFonts w:ascii="Times New Roman" w:cs="Times New Roman" w:eastAsia="Times New Roman" w:hAnsi="Times New Roman"/>
          <w:sz w:val="26"/>
          <w:szCs w:val="26"/>
        </w:rPr>
        <w:t xml:space="preserve">7104.10 - Thạch anh áp điện: 7104.10.10 - - Chưa được gia công 7104.10.20 - - Đã gia công - Loại khác, chưa gia công hoặc mới chỉ được cắt đơn giản hoặc tạo hình thô: 7104.21.00 - - Kim cương 7104.29.00 - - Loại khác - Loại khác: 7104.91.00 - - Kim cương 7104.99.00 - - Loại khác 71.05 Bụi và bột của đá quý hoặc đá bán quý tự nhiên hoặc tổng hợp.</w:t>
      </w:r>
    </w:p>
    <w:p>
      <w:pPr>
        <w:spacing w:after="120" w:line="360"/>
      </w:pPr>
      <w:r>
        <w:rPr>
          <w:rFonts w:ascii="Times New Roman" w:cs="Times New Roman" w:eastAsia="Times New Roman" w:hAnsi="Times New Roman"/>
          <w:sz w:val="26"/>
          <w:szCs w:val="26"/>
        </w:rPr>
        <w:t xml:space="preserve">7105.10.00 - Của kim cương 7105.90.00 - Loại khác 71.06 Bạc (kể cả bạc được mạ vàng hoặc bạch kim), chưa gia công hoặc ở dạng bán thành phẩm, hoặc dạng bột.</w:t>
      </w:r>
    </w:p>
    <w:p>
      <w:pPr>
        <w:spacing w:after="120" w:line="360"/>
      </w:pPr>
      <w:r>
        <w:rPr>
          <w:rFonts w:ascii="Times New Roman" w:cs="Times New Roman" w:eastAsia="Times New Roman" w:hAnsi="Times New Roman"/>
          <w:sz w:val="26"/>
          <w:szCs w:val="26"/>
        </w:rPr>
        <w:t xml:space="preserve">7106.10.00 - Dạng bột - Loại khác: 7106.91.00 - - Chưa gia công 7106.92.00 - - Dạng bán thành phẩm 71.08 Vàng (kể cả vàng mạ bạch kim) chưa gia công hoặc ở dạng bán thành phẩm, hoặc ở dạng bột.</w:t>
      </w:r>
    </w:p>
    <w:p>
      <w:pPr>
        <w:spacing w:after="120" w:line="360"/>
      </w:pPr>
      <w:r>
        <w:rPr>
          <w:rFonts w:ascii="Times New Roman" w:cs="Times New Roman" w:eastAsia="Times New Roman" w:hAnsi="Times New Roman"/>
          <w:sz w:val="26"/>
          <w:szCs w:val="26"/>
        </w:rPr>
        <w:t xml:space="preserve">- Không phải dạng tiền tệ: 7108.11.00 - - Dạng bột 7108.12 - - Dạng chưa gia công khác: 7108.12.10 - - - Dạng cục, thỏi hoặc thanh đúc 7108.12.90 - - - Loại khác 7108.13.00 - - Dạng bán thành phẩm khác 7108.20.00 - Dạng tiền tệ 71.13 Đồ trang sức và các bộ phận của đồ trang sức, bằng kim loại quý hoặc kim loại được dát phủ kim loại quý.</w:t>
      </w:r>
    </w:p>
    <w:p>
      <w:pPr>
        <w:spacing w:after="120" w:line="360"/>
      </w:pPr>
      <w:r>
        <w:rPr>
          <w:rFonts w:ascii="Times New Roman" w:cs="Times New Roman" w:eastAsia="Times New Roman" w:hAnsi="Times New Roman"/>
          <w:sz w:val="26"/>
          <w:szCs w:val="26"/>
        </w:rPr>
        <w:t xml:space="preserve">- Bằng kim loại quý đã hoặc chưa mạ hoặc dát phủ kim loại quý: 7113.19 - - Bằng kim loại quý khác, đã hoặc chưa mạ hoặc dát phủ kim loại quý: 7113.19.10 - - - Bộ phận 7113.19.90 - - - Loại khác 71.14 Đồ kỹ nghệ vàng hoặc bạc và các bộ phận của đồ kỹ nghệ vàng bạc, bằng kim loại quý hoặc kim loại dát phủ kim loại quý.</w:t>
      </w:r>
    </w:p>
    <w:p>
      <w:pPr>
        <w:spacing w:after="120" w:line="360"/>
      </w:pPr>
      <w:r>
        <w:rPr>
          <w:rFonts w:ascii="Times New Roman" w:cs="Times New Roman" w:eastAsia="Times New Roman" w:hAnsi="Times New Roman"/>
          <w:sz w:val="26"/>
          <w:szCs w:val="26"/>
        </w:rPr>
        <w:t xml:space="preserve">- Bằng kim loại quý đã hoặc chưa mạ hoặc dát phủ kim loại quý: 7114.19.00 - - Bằng kim loại quý khác, đã hoặc chưa mạ hoặc dát phủ kim loại quý 71.15 Các sản phẩm khác bằng kim loại quý hoặc kim loại dát phủ kim loại quý.</w:t>
      </w:r>
    </w:p>
    <w:p>
      <w:pPr>
        <w:spacing w:after="120" w:line="360"/>
      </w:pPr>
      <w:r>
        <w:rPr>
          <w:rFonts w:ascii="Times New Roman" w:cs="Times New Roman" w:eastAsia="Times New Roman" w:hAnsi="Times New Roman"/>
          <w:sz w:val="26"/>
          <w:szCs w:val="26"/>
        </w:rPr>
        <w:t xml:space="preserve">7115.90 - Loại khác: 7115.90.10 - - Bằng vàng hoặc bạc Chương 72 Sắt và thép 72.02 Hợp kim fero.</w:t>
      </w:r>
    </w:p>
    <w:p>
      <w:pPr>
        <w:spacing w:after="120" w:line="360"/>
      </w:pPr>
      <w:r>
        <w:rPr>
          <w:rFonts w:ascii="Times New Roman" w:cs="Times New Roman" w:eastAsia="Times New Roman" w:hAnsi="Times New Roman"/>
          <w:sz w:val="26"/>
          <w:szCs w:val="26"/>
        </w:rPr>
        <w:t xml:space="preserve">- Loại khác: 7202.99.00 - - Loại khác 72.04 Phế liệu và mảnh vụn sắt; thỏi đúc phế liệu nấu lại từ sắt hoặc thép.</w:t>
      </w:r>
    </w:p>
    <w:p>
      <w:pPr>
        <w:spacing w:after="120" w:line="360"/>
      </w:pPr>
      <w:r>
        <w:rPr>
          <w:rFonts w:ascii="Times New Roman" w:cs="Times New Roman" w:eastAsia="Times New Roman" w:hAnsi="Times New Roman"/>
          <w:sz w:val="26"/>
          <w:szCs w:val="26"/>
        </w:rPr>
        <w:t xml:space="preserve">7204.10.00 - Phế liệu và mảnh vụn của gang đúc - Phế liệu và mảnh vụn của thép hợp kim: 7204.21.00 - - Bằng thép không gỉ 7204.29.00 - - Loại khác 7204.30.00 - Phế liệu và mảnh vụn của sắt hoặc thép tráng thiếc - Phế liệu và mảnh vụn khác: 7204.41.00 - - Phoi tiện, phoi bào, mảnh vỡ, vảy cán, mạt cưa, mạt giũa, phoi cắt và bavia, đã hoặc chưa được ép thành khối hoặc đóng thành kiện, bánh, bó 7204.49.00 - - Loại khác 7204.50.00 - Thỏi đúc phế liệu nấu lại Chương 74 Đồng và các sản phẩm bằng đồng 74.01 Sten đồng; đồng xi măng hoá (đồng kết tủa).</w:t>
      </w:r>
    </w:p>
    <w:p>
      <w:pPr>
        <w:spacing w:after="120" w:line="360"/>
      </w:pPr>
      <w:r>
        <w:rPr>
          <w:rFonts w:ascii="Times New Roman" w:cs="Times New Roman" w:eastAsia="Times New Roman" w:hAnsi="Times New Roman"/>
          <w:sz w:val="26"/>
          <w:szCs w:val="26"/>
        </w:rPr>
        <w:t xml:space="preserve">7401.00.10 - Sten đồng 7401.00.20 - Đồng xi măng hóa (đồng kết tủa) 74.02 Đồng chưa tinh luyện; a-nốt đồng dùng cho điện phân tinh luyện.</w:t>
      </w:r>
    </w:p>
    <w:p>
      <w:pPr>
        <w:spacing w:after="120" w:line="360"/>
      </w:pPr>
      <w:r>
        <w:rPr>
          <w:rFonts w:ascii="Times New Roman" w:cs="Times New Roman" w:eastAsia="Times New Roman" w:hAnsi="Times New Roman"/>
          <w:sz w:val="26"/>
          <w:szCs w:val="26"/>
        </w:rPr>
        <w:t xml:space="preserve">7402.00.10 - Đồng xốp (blister copper) 7402.00.90 - Loại khác 74.03 Đồng tinh luyện và hợp kim đồng, chưa gia công.</w:t>
      </w:r>
    </w:p>
    <w:p>
      <w:pPr>
        <w:spacing w:after="120" w:line="360"/>
      </w:pPr>
      <w:r>
        <w:rPr>
          <w:rFonts w:ascii="Times New Roman" w:cs="Times New Roman" w:eastAsia="Times New Roman" w:hAnsi="Times New Roman"/>
          <w:sz w:val="26"/>
          <w:szCs w:val="26"/>
        </w:rPr>
        <w:t xml:space="preserve">- Đồng tinh luyện: 7403.11.00 - - Ca-tốt và các phần của ca-tốt: 7403.11.00.10 - - - Đồng tinh luyện nguyên chất 7403.11.00.90 - - - Loại khác 7403.12.00 - - Thanh để kéo dây 7403.13.00 - - Que 7403.19.00 - - Loại khác - Hợp kim đồng: 7403.21.00 - - Hợp kim đồng-kẽm (đồng thau) 7403.22.00 - - Hợp kim đồng-thiếc (đồng thanh) 7403.29.00 - - Hợp kim đồng khác (trừ các loại hợp kim đồng chủ thuộc nhóm 74.05) 7404.00.00 Phế liệu và mảnh vụn của đồng.</w:t>
      </w:r>
    </w:p>
    <w:p>
      <w:pPr>
        <w:spacing w:after="120" w:line="360"/>
      </w:pPr>
      <w:r>
        <w:rPr>
          <w:rFonts w:ascii="Times New Roman" w:cs="Times New Roman" w:eastAsia="Times New Roman" w:hAnsi="Times New Roman"/>
          <w:sz w:val="26"/>
          <w:szCs w:val="26"/>
        </w:rPr>
        <w:t xml:space="preserve">7405.00.00 Hợp kim đồng chủ.</w:t>
      </w:r>
    </w:p>
    <w:p>
      <w:pPr>
        <w:spacing w:after="120" w:line="360"/>
      </w:pPr>
      <w:r>
        <w:rPr>
          <w:rFonts w:ascii="Times New Roman" w:cs="Times New Roman" w:eastAsia="Times New Roman" w:hAnsi="Times New Roman"/>
          <w:sz w:val="26"/>
          <w:szCs w:val="26"/>
        </w:rPr>
        <w:t xml:space="preserve">74.06 Bột và vảy đồng.</w:t>
      </w:r>
    </w:p>
    <w:p>
      <w:pPr>
        <w:spacing w:after="120" w:line="360"/>
      </w:pPr>
      <w:r>
        <w:rPr>
          <w:rFonts w:ascii="Times New Roman" w:cs="Times New Roman" w:eastAsia="Times New Roman" w:hAnsi="Times New Roman"/>
          <w:sz w:val="26"/>
          <w:szCs w:val="26"/>
        </w:rPr>
        <w:t xml:space="preserve">7406.10.00 - Bột không có cấu trúc lớp 7406.20.00 - Bột có cấu trúc lớp; vảy đồng 74.07 Đồng ở dạng thanh, que và dạng hình.</w:t>
      </w:r>
    </w:p>
    <w:p>
      <w:pPr>
        <w:spacing w:after="120" w:line="360"/>
      </w:pPr>
      <w:r>
        <w:rPr>
          <w:rFonts w:ascii="Times New Roman" w:cs="Times New Roman" w:eastAsia="Times New Roman" w:hAnsi="Times New Roman"/>
          <w:sz w:val="26"/>
          <w:szCs w:val="26"/>
        </w:rPr>
        <w:t xml:space="preserve">7407.10 - Bằng đồng tinh luyện: 7407.10.30 - - Dạng hình - - Dạng thanh và que: 7407.10.41 - - - Mặt cắt ngang hình vuông hoặc hình chữ nhật 7407.10.49 - - - Loại khác - Bằng hợp kim đồng: 7407.21.00 - - Bằng hợp kim đồng-kẽm (đồng thau) 7407.29.00 - - Loại khác 74.11 Các loại ống và ống dẫn bằng đồng.</w:t>
      </w:r>
    </w:p>
    <w:p>
      <w:pPr>
        <w:spacing w:after="120" w:line="360"/>
      </w:pPr>
      <w:r>
        <w:rPr>
          <w:rFonts w:ascii="Times New Roman" w:cs="Times New Roman" w:eastAsia="Times New Roman" w:hAnsi="Times New Roman"/>
          <w:sz w:val="26"/>
          <w:szCs w:val="26"/>
        </w:rPr>
        <w:t xml:space="preserve">7411.10.00 - Bằng đồng tinh luyện: 7411.10.00.90 - - Loại khác - Bằng hợp kim đồng: 7411.21.00 - - Bằng hợp kim đồng-kẽm (đồng thau) 7411.22.00 - - Bằng hợp kim đồng-niken (đồng kền) hoặc hợp kim đồng-niken-kẽm (bạc niken) 7411.29.00 - - Loại khác Chương 75 Niken và các sản phẩm bằng niken 75.01 Sten niken, oxit niken thiêu kết và các sản phẩm trung gian khác của quá trình luyện niken.</w:t>
      </w:r>
    </w:p>
    <w:p>
      <w:pPr>
        <w:spacing w:after="120" w:line="360"/>
      </w:pPr>
      <w:r>
        <w:rPr>
          <w:rFonts w:ascii="Times New Roman" w:cs="Times New Roman" w:eastAsia="Times New Roman" w:hAnsi="Times New Roman"/>
          <w:sz w:val="26"/>
          <w:szCs w:val="26"/>
        </w:rPr>
        <w:t xml:space="preserve">7501.10.00 - Sten niken 7501.20.00 - Oxit niken thiêu kết và các sản phẩm trung gian khác của quá trình luyện niken 75.02 Niken chưa gia công.</w:t>
      </w:r>
    </w:p>
    <w:p>
      <w:pPr>
        <w:spacing w:after="120" w:line="360"/>
      </w:pPr>
      <w:r>
        <w:rPr>
          <w:rFonts w:ascii="Times New Roman" w:cs="Times New Roman" w:eastAsia="Times New Roman" w:hAnsi="Times New Roman"/>
          <w:sz w:val="26"/>
          <w:szCs w:val="26"/>
        </w:rPr>
        <w:t xml:space="preserve">7502.10.00 - Niken, không hợp kim 7502.20.00 - Hợp kim niken 75.03 Phế liệu và mảnh vụn niken.</w:t>
      </w:r>
    </w:p>
    <w:p>
      <w:pPr>
        <w:spacing w:after="120" w:line="360"/>
      </w:pPr>
      <w:r>
        <w:rPr>
          <w:rFonts w:ascii="Times New Roman" w:cs="Times New Roman" w:eastAsia="Times New Roman" w:hAnsi="Times New Roman"/>
          <w:sz w:val="26"/>
          <w:szCs w:val="26"/>
        </w:rPr>
        <w:t xml:space="preserve">7503.00.00.10 - Phoi tiện, phoi bào, bụi xẻ, mùn mạt giũa, bột nghiền, bột đẽo của niken, đã hoặc chưa được ép thành khối hay đóng thành kiện, bánh, bó 7503.00.00.90 - Loại khác 7504.00.00 Bột và vảy niken.</w:t>
      </w:r>
    </w:p>
    <w:p>
      <w:pPr>
        <w:spacing w:after="120" w:line="360"/>
      </w:pPr>
      <w:r>
        <w:rPr>
          <w:rFonts w:ascii="Times New Roman" w:cs="Times New Roman" w:eastAsia="Times New Roman" w:hAnsi="Times New Roman"/>
          <w:sz w:val="26"/>
          <w:szCs w:val="26"/>
        </w:rPr>
        <w:t xml:space="preserve">75.05 Niken ở dạng thanh, que, hình và dây.</w:t>
      </w:r>
    </w:p>
    <w:p>
      <w:pPr>
        <w:spacing w:after="120" w:line="360"/>
      </w:pPr>
      <w:r>
        <w:rPr>
          <w:rFonts w:ascii="Times New Roman" w:cs="Times New Roman" w:eastAsia="Times New Roman" w:hAnsi="Times New Roman"/>
          <w:sz w:val="26"/>
          <w:szCs w:val="26"/>
        </w:rPr>
        <w:t xml:space="preserve">- Thanh, que và hình: 7505.11.00 - - Bằng niken, không hợp kim 7505.12.00 - - Bằng hợp kim niken Chương 76 Nhôm và các sản phẩm bằng nhôm 76.01 Nhôm chưa gia công.</w:t>
      </w:r>
    </w:p>
    <w:p>
      <w:pPr>
        <w:spacing w:after="120" w:line="360"/>
      </w:pPr>
      <w:r>
        <w:rPr>
          <w:rFonts w:ascii="Times New Roman" w:cs="Times New Roman" w:eastAsia="Times New Roman" w:hAnsi="Times New Roman"/>
          <w:sz w:val="26"/>
          <w:szCs w:val="26"/>
        </w:rPr>
        <w:t xml:space="preserve">7601.10.00 - Nhôm, không hợp kim 7601.20.00 - Hợp kim nhôm 76.02 Phế liệu và mảnh vụn nhôm.</w:t>
      </w:r>
    </w:p>
    <w:p>
      <w:pPr>
        <w:spacing w:after="120" w:line="360"/>
      </w:pPr>
      <w:r>
        <w:rPr>
          <w:rFonts w:ascii="Times New Roman" w:cs="Times New Roman" w:eastAsia="Times New Roman" w:hAnsi="Times New Roman"/>
          <w:sz w:val="26"/>
          <w:szCs w:val="26"/>
        </w:rPr>
        <w:t xml:space="preserve">7602.00.00.10 - Phoi tiện, phoi bào, bụi xẻ, mùn mạt giũa, bột nghiền, bột đẽo của nhôm, đã hoặc chưa được ép thành khối hay đóng thành kiện, bánh, bó.</w:t>
      </w:r>
    </w:p>
    <w:p>
      <w:pPr>
        <w:spacing w:after="120" w:line="360"/>
      </w:pPr>
      <w:r>
        <w:rPr>
          <w:rFonts w:ascii="Times New Roman" w:cs="Times New Roman" w:eastAsia="Times New Roman" w:hAnsi="Times New Roman"/>
          <w:sz w:val="26"/>
          <w:szCs w:val="26"/>
        </w:rPr>
        <w:t xml:space="preserve">7602.00.00.20 - Loại khác 76.03 Bột và vảy nhôm.</w:t>
      </w:r>
    </w:p>
    <w:p>
      <w:pPr>
        <w:spacing w:after="120" w:line="360"/>
      </w:pPr>
      <w:r>
        <w:rPr>
          <w:rFonts w:ascii="Times New Roman" w:cs="Times New Roman" w:eastAsia="Times New Roman" w:hAnsi="Times New Roman"/>
          <w:sz w:val="26"/>
          <w:szCs w:val="26"/>
        </w:rPr>
        <w:t xml:space="preserve">7603.10.00 - Bột không có cấu trúc lớp 7603.20 - Bột có cấu trúc lớp; vảy nhôm: 7603.20.10 - - Vảy nhôm 7603.20.20 - - Bột có cấu trúc lớp 76.04 Nhôm ở dạng thanh, que và hình.</w:t>
      </w:r>
    </w:p>
    <w:p>
      <w:pPr>
        <w:spacing w:after="120" w:line="360"/>
      </w:pPr>
      <w:r>
        <w:rPr>
          <w:rFonts w:ascii="Times New Roman" w:cs="Times New Roman" w:eastAsia="Times New Roman" w:hAnsi="Times New Roman"/>
          <w:sz w:val="26"/>
          <w:szCs w:val="26"/>
        </w:rPr>
        <w:t xml:space="preserve">7604.10 - Bằng nhôm, không hợp kim: 7604.10.10 - - Dạng thanh và que 7604.10.90 - - Loại khác - Bằng hợp kim nhôm: 7604.21 - - Dạng hình rỗng: 7604.21.10 - - - Loại phù hợp để làm dàn lạnh của máy điều hoà không khí cho xe có động cơ 7604.21.20 - - - Thanh đệm bằng nhôm cho cửa ra vào và cửa sổ 7604.21.90 - - - Loại khác 7604.29 - - Loại khác: 7604.29.10 - - - Dạng thanh và que được ép đùn 7604.29.30 - - - Dạng hình chữ Y dùng cho dây khóa kéo, ở dạng cuộn 7604.29.90 - - - Loại khác 76.05 Dây nhôm.</w:t>
      </w:r>
    </w:p>
    <w:p>
      <w:pPr>
        <w:spacing w:after="120" w:line="360"/>
      </w:pPr>
      <w:r>
        <w:rPr>
          <w:rFonts w:ascii="Times New Roman" w:cs="Times New Roman" w:eastAsia="Times New Roman" w:hAnsi="Times New Roman"/>
          <w:sz w:val="26"/>
          <w:szCs w:val="26"/>
        </w:rPr>
        <w:t xml:space="preserve">- Bằng nhôm, không hợp kim: 7605.11.00 - - Kích thước mặt cắt ngang lớn nhất trên 7 mm 7605.19 - - Loại khác: 7605.19.10 - - - Đường kính không quá 0,0508 mm 7605.19.90 - - - Loại khác - Bằng hợp kim nhôm: 7605.21.00 - - Kích thước mặt cắt ngang lớn nhất trên 7 mm 7605.29 - - Loại khác: 7605.29.10 - - - Có đường kính không quá 0,254mm 7605.29.90 - - - Loại khác 76.06 Nhôm ở dạng tấm, lá và dải, chiều dày trên 0,2 mm.</w:t>
      </w:r>
    </w:p>
    <w:p>
      <w:pPr>
        <w:spacing w:after="120" w:line="360"/>
      </w:pPr>
      <w:r>
        <w:rPr>
          <w:rFonts w:ascii="Times New Roman" w:cs="Times New Roman" w:eastAsia="Times New Roman" w:hAnsi="Times New Roman"/>
          <w:sz w:val="26"/>
          <w:szCs w:val="26"/>
        </w:rPr>
        <w:t xml:space="preserve">- Hình chữ nhật (kể cả hình vuông): 7606.11 - - Bằng nhôm, không hợp kim: - - - Dạng lá: 7606.12.32 - - - - Để làm lon (kể cả đáy lon và nắp lon), dạng cuộn: 7606.12 32.10 - - - - - Dải nhôm cuộn Chương 78 Chì và các sản phẩm bằng chì 78.01 Chì chưa gia công.</w:t>
      </w:r>
    </w:p>
    <w:p>
      <w:pPr>
        <w:spacing w:after="120" w:line="360"/>
      </w:pPr>
      <w:r>
        <w:rPr>
          <w:rFonts w:ascii="Times New Roman" w:cs="Times New Roman" w:eastAsia="Times New Roman" w:hAnsi="Times New Roman"/>
          <w:sz w:val="26"/>
          <w:szCs w:val="26"/>
        </w:rPr>
        <w:t xml:space="preserve">7801.10.00 - Chì tinh luyện - Loại khác: 7801.91.00 - - Có hàm lượng antimon tính theo khối lượng là lớn nhất so với hàm lượng của các nguyên tố khác ngoài chì 7801.99.00 - - Loại khác 78.02 Phế liệu và mảnh vụn chì.</w:t>
      </w:r>
    </w:p>
    <w:p>
      <w:pPr>
        <w:spacing w:after="120" w:line="360"/>
      </w:pPr>
      <w:r>
        <w:rPr>
          <w:rFonts w:ascii="Times New Roman" w:cs="Times New Roman" w:eastAsia="Times New Roman" w:hAnsi="Times New Roman"/>
          <w:sz w:val="26"/>
          <w:szCs w:val="26"/>
        </w:rPr>
        <w:t xml:space="preserve">7802.00.00.10 - Phoi tiện, phoi bào, bụi xẻ, mùn mạt giũa, bột nghiền, bột đẽo của chì, đã hoặc chưa được ép thành khối hay đóng thành kiện, bánh, bó.</w:t>
      </w:r>
    </w:p>
    <w:p>
      <w:pPr>
        <w:spacing w:after="120" w:line="360"/>
      </w:pPr>
      <w:r>
        <w:rPr>
          <w:rFonts w:ascii="Times New Roman" w:cs="Times New Roman" w:eastAsia="Times New Roman" w:hAnsi="Times New Roman"/>
          <w:sz w:val="26"/>
          <w:szCs w:val="26"/>
        </w:rPr>
        <w:t xml:space="preserve">7802.00.00.90 - Loại khác 78.04 Chì ở dạng tấm, lá, dải và lá mỏng; bột và vảy chì.</w:t>
      </w:r>
    </w:p>
    <w:p>
      <w:pPr>
        <w:spacing w:after="120" w:line="360"/>
      </w:pPr>
      <w:r>
        <w:rPr>
          <w:rFonts w:ascii="Times New Roman" w:cs="Times New Roman" w:eastAsia="Times New Roman" w:hAnsi="Times New Roman"/>
          <w:sz w:val="26"/>
          <w:szCs w:val="26"/>
        </w:rPr>
        <w:t xml:space="preserve">- Chì ở dạng tấm, lá, dải và lá mỏng: 7804.11 - - Lá, dải và lá mỏng có chiều dày (trừ phần bồi) không quá 0,2 mm: 7804.11.10 - - - Chiều dày không quá 0,15 mm 7804.11.90 - - - Loại khác 7804.19.00 - - Loại khác 7804.20.00 - Bột và vảy chì 78.06 Các sản phẩm khác bằng chì.</w:t>
      </w:r>
    </w:p>
    <w:p>
      <w:pPr>
        <w:spacing w:after="120" w:line="360"/>
      </w:pPr>
      <w:r>
        <w:rPr>
          <w:rFonts w:ascii="Times New Roman" w:cs="Times New Roman" w:eastAsia="Times New Roman" w:hAnsi="Times New Roman"/>
          <w:sz w:val="26"/>
          <w:szCs w:val="26"/>
        </w:rPr>
        <w:t xml:space="preserve">7806.00.20 - Thanh, que, dạng hình và dây: 7806.00.20.10 - - Thanh, que, dạng hình Chương 79 Kẽm và các sản phẩm bằng kẽm 79.01 Kẽm chưa gia công.</w:t>
      </w:r>
    </w:p>
    <w:p>
      <w:pPr>
        <w:spacing w:after="120" w:line="360"/>
      </w:pPr>
      <w:r>
        <w:rPr>
          <w:rFonts w:ascii="Times New Roman" w:cs="Times New Roman" w:eastAsia="Times New Roman" w:hAnsi="Times New Roman"/>
          <w:sz w:val="26"/>
          <w:szCs w:val="26"/>
        </w:rPr>
        <w:t xml:space="preserve">- Kẽm, không hợp kim: 7901.11.00 - - Có hàm lượng kẽm từ 99,99% trở lên tính theo khối lượng: 7901.11.00.10 - - - Dạng thỏi 7901.11.00.90 - - - Loại khác 7901.12.00 - - Có hàm lượng kẽm dưới 99,99% tính theo khối lượng : 7901.12.00.10 - - - Dạng thỏi 7901.12.00.90 - - - Loại khác 7901.20.00 - Hợp kim kẽm: 7901.20.00.10 - - Dạng thỏi 7901.20.00.90 - - Loại khác 79.02 Phế liệu và mảnh vụn kẽm.</w:t>
      </w:r>
    </w:p>
    <w:p>
      <w:pPr>
        <w:spacing w:after="120" w:line="360"/>
      </w:pPr>
      <w:r>
        <w:rPr>
          <w:rFonts w:ascii="Times New Roman" w:cs="Times New Roman" w:eastAsia="Times New Roman" w:hAnsi="Times New Roman"/>
          <w:sz w:val="26"/>
          <w:szCs w:val="26"/>
        </w:rPr>
        <w:t xml:space="preserve">7902.00.00.10 - Phoi tiện, phoi bào, bụi xẻ, mùn mạt giũa, bột nghiền, bột đẽo của kẽm, đã hoặc chưa được đóng, ép thành khối hay thành kiện, bánh, bó.</w:t>
      </w:r>
    </w:p>
    <w:p>
      <w:pPr>
        <w:spacing w:after="120" w:line="360"/>
      </w:pPr>
      <w:r>
        <w:rPr>
          <w:rFonts w:ascii="Times New Roman" w:cs="Times New Roman" w:eastAsia="Times New Roman" w:hAnsi="Times New Roman"/>
          <w:sz w:val="26"/>
          <w:szCs w:val="26"/>
        </w:rPr>
        <w:t xml:space="preserve">7902.00.00.90 - Loại khác 79.03 Bột, bụi và vảy kẽm.</w:t>
      </w:r>
    </w:p>
    <w:p>
      <w:pPr>
        <w:spacing w:after="120" w:line="360"/>
      </w:pPr>
      <w:r>
        <w:rPr>
          <w:rFonts w:ascii="Times New Roman" w:cs="Times New Roman" w:eastAsia="Times New Roman" w:hAnsi="Times New Roman"/>
          <w:sz w:val="26"/>
          <w:szCs w:val="26"/>
        </w:rPr>
        <w:t xml:space="preserve">7903.10.00 - Bụi kẽm 7903.90.00 - Loại khác 7904.00.00 Kẽm ở dạng thanh, que, hình và dây.</w:t>
      </w:r>
    </w:p>
    <w:p>
      <w:pPr>
        <w:spacing w:after="120" w:line="360"/>
      </w:pPr>
      <w:r>
        <w:rPr>
          <w:rFonts w:ascii="Times New Roman" w:cs="Times New Roman" w:eastAsia="Times New Roman" w:hAnsi="Times New Roman"/>
          <w:sz w:val="26"/>
          <w:szCs w:val="26"/>
        </w:rPr>
        <w:t xml:space="preserve">79.05 Kẽm ở dạng tấm, lá, dải và lá mỏng.</w:t>
      </w:r>
    </w:p>
    <w:p>
      <w:pPr>
        <w:spacing w:after="120" w:line="360"/>
      </w:pPr>
      <w:r>
        <w:rPr>
          <w:rFonts w:ascii="Times New Roman" w:cs="Times New Roman" w:eastAsia="Times New Roman" w:hAnsi="Times New Roman"/>
          <w:sz w:val="26"/>
          <w:szCs w:val="26"/>
        </w:rPr>
        <w:t xml:space="preserve">7905.00.40 - Chiều dày không quá 0,15 mm 7905.00.90 - Loại khác Chương 80 Thiếc và các sản phẩm bằng thiếc 80.01 Thiếc chưa gia công.</w:t>
      </w:r>
    </w:p>
    <w:p>
      <w:pPr>
        <w:spacing w:after="120" w:line="360"/>
      </w:pPr>
      <w:r>
        <w:rPr>
          <w:rFonts w:ascii="Times New Roman" w:cs="Times New Roman" w:eastAsia="Times New Roman" w:hAnsi="Times New Roman"/>
          <w:sz w:val="26"/>
          <w:szCs w:val="26"/>
        </w:rPr>
        <w:t xml:space="preserve">8001.10.00 - Thiếc, không hợp kim: 8001.10.00.10 - - Dạng thỏi 8001.10.00.90 - - Loại khác 8001.20.00 - Hợp kim thiếc: 8001.20.00.10 - - Dạng thỏi 8001.20.00.90 - - Loại khác 80.02 Phế liệu và mảnh vụn thiếc.</w:t>
      </w:r>
    </w:p>
    <w:p>
      <w:pPr>
        <w:spacing w:after="120" w:line="360"/>
      </w:pPr>
      <w:r>
        <w:rPr>
          <w:rFonts w:ascii="Times New Roman" w:cs="Times New Roman" w:eastAsia="Times New Roman" w:hAnsi="Times New Roman"/>
          <w:sz w:val="26"/>
          <w:szCs w:val="26"/>
        </w:rPr>
        <w:t xml:space="preserve">8002.00.00.10 - Phoi tiện, phoi bào, bụi xẻ, mùn mạt giũa, bột nghiền, bột đẽo của thiếc, đã hoặc chưa được ép thành khối hay đóng thành kiện, bánh, bó 8002.00.00.90 - Loại khác 80.03 Thiếc ở dạng thanh, que, dạng hình và dây.</w:t>
      </w:r>
    </w:p>
    <w:p>
      <w:pPr>
        <w:spacing w:after="120" w:line="360"/>
      </w:pPr>
      <w:r>
        <w:rPr>
          <w:rFonts w:ascii="Times New Roman" w:cs="Times New Roman" w:eastAsia="Times New Roman" w:hAnsi="Times New Roman"/>
          <w:sz w:val="26"/>
          <w:szCs w:val="26"/>
        </w:rPr>
        <w:t xml:space="preserve">8003.00.10 - Thanh và que hàn 8003.00.90 - Loại khác 80.07 Các sản phẩm khác bằng thiếc.</w:t>
      </w:r>
    </w:p>
    <w:p>
      <w:pPr>
        <w:spacing w:after="120" w:line="360"/>
      </w:pPr>
      <w:r>
        <w:rPr>
          <w:rFonts w:ascii="Times New Roman" w:cs="Times New Roman" w:eastAsia="Times New Roman" w:hAnsi="Times New Roman"/>
          <w:sz w:val="26"/>
          <w:szCs w:val="26"/>
        </w:rPr>
        <w:t xml:space="preserve">8007.00.30 - Lá mỏng (đã hoặc chưa in hoặc bồi trên giấy, bìa, plastic hoặc vật liệu bồi tương tự), có chiều dày (trừ phần bồi) không quá 0,2 mm; dạng bột và vảy: 8007.00.30.10 - - Dạng bột và vảy Chương 81 Kim loại cơ bản khác; gốm kim loại; các sản phẩm của chúng 81.01 Vonfram và các sản phẩm làm từ vonfram, kể cả phế liệu và mảnh vụn.</w:t>
      </w:r>
    </w:p>
    <w:p>
      <w:pPr>
        <w:spacing w:after="120" w:line="360"/>
      </w:pPr>
      <w:r>
        <w:rPr>
          <w:rFonts w:ascii="Times New Roman" w:cs="Times New Roman" w:eastAsia="Times New Roman" w:hAnsi="Times New Roman"/>
          <w:sz w:val="26"/>
          <w:szCs w:val="26"/>
        </w:rPr>
        <w:t xml:space="preserve">8101.10.00 - Bột - Loại khác: 8101.94.00 - - Vonfram chưa gia công, kể cả thanh và que thu được từ quá trình thiêu kết 8101.96.00 - - Dây 8101.97.00 - - Phế liệu và mảnh vụn 8101.99 - - Loại khác: 8101.99.10 - - - Thanh và que, trừ các loại thu được từ quá trình thiêu kết; dạng hình, lá, dải và lá mỏng 8101.99.90 - - - Loại khác 81.02 Molypđen và các sản phẩm làm từ molypđen, kể cả phế liệu và mảnh vụn.</w:t>
      </w:r>
    </w:p>
    <w:p>
      <w:pPr>
        <w:spacing w:after="120" w:line="360"/>
      </w:pPr>
      <w:r>
        <w:rPr>
          <w:rFonts w:ascii="Times New Roman" w:cs="Times New Roman" w:eastAsia="Times New Roman" w:hAnsi="Times New Roman"/>
          <w:sz w:val="26"/>
          <w:szCs w:val="26"/>
        </w:rPr>
        <w:t xml:space="preserve">8102.10.00 - Bột - Loại khác: 8102.94.00 - - Molypđen chưa gia công, kể cả thanh và que thu được từ quá trình thiêu kết 8102.95.00 - - Thanh và que, trừ các loại thu được từ quá trình thiêu kết, dạng hình, tấm, lá, dải và lá mỏng 8102.96.00 - - Dây 8102.97.00 - - Phế liệu và mảnh vụn 8102.99.00 - - Loại khác 81.03 Tantan và các sản phẩm làm từ tantan, kể cả phế liệu và mảnh vụn.</w:t>
      </w:r>
    </w:p>
    <w:p>
      <w:pPr>
        <w:spacing w:after="120" w:line="360"/>
      </w:pPr>
      <w:r>
        <w:rPr>
          <w:rFonts w:ascii="Times New Roman" w:cs="Times New Roman" w:eastAsia="Times New Roman" w:hAnsi="Times New Roman"/>
          <w:sz w:val="26"/>
          <w:szCs w:val="26"/>
        </w:rPr>
        <w:t xml:space="preserve">8103.20.00 - Tantan chưa gia công, kể cả thanh và que thu được từ quá trình thiêu kết; bột 8103.30.00 - Phế liệu và mảnh vụn - Loại khác: 8103.91.00 - - Chén nung (crucible) 8103.99.00 - - Loại khác 81.04 Magiê và các sản phẩm của magiê, kể cả phế liệu và mảnh vụn.</w:t>
      </w:r>
    </w:p>
    <w:p>
      <w:pPr>
        <w:spacing w:after="120" w:line="360"/>
      </w:pPr>
      <w:r>
        <w:rPr>
          <w:rFonts w:ascii="Times New Roman" w:cs="Times New Roman" w:eastAsia="Times New Roman" w:hAnsi="Times New Roman"/>
          <w:sz w:val="26"/>
          <w:szCs w:val="26"/>
        </w:rPr>
        <w:t xml:space="preserve">- Magiê chưa gia công: 8104.11.00 - - Có chứa hàm lượng magiê ít nhất 99,8% tính theo khối lượng 8104.19.00 - - Loại khác 8104.20.00 - Phế liệu và mảnh vụn 8104.30.00 - Mạt giũa, phoi tiện và hạt, đã được phân loại theo kích cỡ; bột 8104.90.00 - Loại khác 81.05 Coban sten và các sản phẩm trung gian khác từ luyện coban; coban và các sản phẩm bằng coban, kể cả phế liệu và mảnh vụn.</w:t>
      </w:r>
    </w:p>
    <w:p>
      <w:pPr>
        <w:spacing w:after="120" w:line="360"/>
      </w:pPr>
      <w:r>
        <w:rPr>
          <w:rFonts w:ascii="Times New Roman" w:cs="Times New Roman" w:eastAsia="Times New Roman" w:hAnsi="Times New Roman"/>
          <w:sz w:val="26"/>
          <w:szCs w:val="26"/>
        </w:rPr>
        <w:t xml:space="preserve">8105.20 - Coban sten và các sản phẩm trung gian khác từ luyện coban; coban chưa gia công; bột: 8105.20.10 - - Coban chưa gia công 8105.20.90 - - Loại khác 8105.30.00 - Phế liệu và mảnh vụn 8105.90.00 - Loại khác 81.06 Bismut và các sản phẩm làm từ bismut, kể cả phế liệu và mảnh vụn.</w:t>
      </w:r>
    </w:p>
    <w:p>
      <w:pPr>
        <w:spacing w:after="120" w:line="360"/>
      </w:pPr>
      <w:r>
        <w:rPr>
          <w:rFonts w:ascii="Times New Roman" w:cs="Times New Roman" w:eastAsia="Times New Roman" w:hAnsi="Times New Roman"/>
          <w:sz w:val="26"/>
          <w:szCs w:val="26"/>
        </w:rPr>
        <w:t xml:space="preserve">8106.10 - Chứa hàm lượng bismut trên 99,99%, tính theo khối lượng: 8106.10.10 - - Bismut chưa gia công; phế liệu và mảnh vụn; bột: 8106.10.10.10 - - - Phế liệu và mảnh vụn 8106.10.10.90 - - - Loại khác 8106.10.90 - - Loại khác 8106.90 - Loại khác: 8106.90.10 - - Bismut chưa gia công; phế liệu và mảnh vụn; bột: 8106.90.10.10 - - - Phế liệu và mảnh vụn 8106.90.10.90 - - - Loại khác 8106.90.90 - - Loại khác 81.08 Titan và các sản phẩm làm từ titan, kể cả phế liệu và mảnh vụn.</w:t>
      </w:r>
    </w:p>
    <w:p>
      <w:pPr>
        <w:spacing w:after="120" w:line="360"/>
      </w:pPr>
      <w:r>
        <w:rPr>
          <w:rFonts w:ascii="Times New Roman" w:cs="Times New Roman" w:eastAsia="Times New Roman" w:hAnsi="Times New Roman"/>
          <w:sz w:val="26"/>
          <w:szCs w:val="26"/>
        </w:rPr>
        <w:t xml:space="preserve">8108.20.00 - Titan chưa gia công; bột 8108.30.00 - Phế liệu và mảnh vụn 8108.90.00 - Loại khác 81.09 Zircon và các sản phẩm làm từ zircon, kể cả phế liệu và mảnh vụn.</w:t>
      </w:r>
    </w:p>
    <w:p>
      <w:pPr>
        <w:spacing w:after="120" w:line="360"/>
      </w:pPr>
      <w:r>
        <w:rPr>
          <w:rFonts w:ascii="Times New Roman" w:cs="Times New Roman" w:eastAsia="Times New Roman" w:hAnsi="Times New Roman"/>
          <w:sz w:val="26"/>
          <w:szCs w:val="26"/>
        </w:rPr>
        <w:t xml:space="preserve">- Zircon chưa gia công; bột: 8109.21.00 - - Chứa hàm lượng hafini trong zircon dưới 1/500 tính theo khối lượng 8109.29.00 - - Loại khác - Phế liệu và mảnh vụn: 8109.31.00 - - Chứa hàm lượng hafini trong zircon dưới 1/500 tính theo khối lượng 8109.39.00 - - Loại khác - Loại khác: 8109.91.00 - - Chứa hàm lượng hafini trong zircon dưới 1/500 tính theo khối lượng 8109.99.00 - - Loại khác 81.10 Antimon và các sản phẩm làm từ antimon, kể cả phế liệu và mảnh vụn.</w:t>
      </w:r>
    </w:p>
    <w:p>
      <w:pPr>
        <w:spacing w:after="120" w:line="360"/>
      </w:pPr>
      <w:r>
        <w:rPr>
          <w:rFonts w:ascii="Times New Roman" w:cs="Times New Roman" w:eastAsia="Times New Roman" w:hAnsi="Times New Roman"/>
          <w:sz w:val="26"/>
          <w:szCs w:val="26"/>
        </w:rPr>
        <w:t xml:space="preserve">8110.10.00 - Antimon chưa gia công; bột 8110.20.00 - Phế liệu và mảnh vụn 8110.90.00 - Loại khác 81.11 Mangan và các sản phẩm làm từ mangan, kể cả phế liệu và mảnh vụn.</w:t>
      </w:r>
    </w:p>
    <w:p>
      <w:pPr>
        <w:spacing w:after="120" w:line="360"/>
      </w:pPr>
      <w:r>
        <w:rPr>
          <w:rFonts w:ascii="Times New Roman" w:cs="Times New Roman" w:eastAsia="Times New Roman" w:hAnsi="Times New Roman"/>
          <w:sz w:val="26"/>
          <w:szCs w:val="26"/>
        </w:rPr>
        <w:t xml:space="preserve">8111.00.10 - Phế liệu và mảnh vụn 8111.00.90 - Loại khác 81.12 Beryli, crôm, hafini, reni, tali, cađimi, germani, vanadi, gali, indi và niobi (columbi), và các sản phẩm từ các kim loại này, kể cả phế liệu và mảnh vụn.</w:t>
      </w:r>
    </w:p>
    <w:p>
      <w:pPr>
        <w:spacing w:after="120" w:line="360"/>
      </w:pPr>
      <w:r>
        <w:rPr>
          <w:rFonts w:ascii="Times New Roman" w:cs="Times New Roman" w:eastAsia="Times New Roman" w:hAnsi="Times New Roman"/>
          <w:sz w:val="26"/>
          <w:szCs w:val="26"/>
        </w:rPr>
        <w:t xml:space="preserve">- Beryli: 8112.12.00 - - Chưa gia công; bột 8112.13.00 - - Phế liệu và mảnh vụn 8112.19.00 - - Loại khác - Crôm: 8112.21.00 - - Chưa gia công; bột 8112.22.00 - - Phế liệu và mảnh vụn 8112.29.00 - - Loại khác - Hafini: 8112.31.00 - - Chưa gia công; phế liệu và mảnh vụn; bột: 8112.31.00.10 - - - Phế liệu và mảnh vụn 8112.31.00.90 - - - Loại khác 8112.39.00 - - Loại khác - Reni: 8112.41.00 - - Chưa gia công; phế liệu và mảnh vụn; bột 8112.41.00.10 - - - Phế liệu và mảnh vụn 8112.41.00.90 - - - Loại khác 8112.49.00 - - Loại khác - Tali: 8112.51.00 - - Chưa gia công; bột 8112.52.00 - - Phế liệu và mảnh vụn 8112.59.00 - - Loại khác - Cađimi: 8112.61.00 - - Phế liệu và mảnh vụn 8112.69 - - Loại khác: 8112.69.10 - - - Chưa gia công; bột 8112.69.90 - - - Loại khác - Loại khác: 8112.92.00 - - Chưa gia công; phế liệu và mảnh vụn; bột: 8112.92.00.10 - - - Phế liệu và mảnh vụn 8112.92.00.90 - - - Loại khác 8112.99.00 - - Loại khác 81.13 Gốm kim loại và các sản phẩm làm từ gốm kim loại, kể cả phế liệu và mảnh vụn.</w:t>
      </w:r>
    </w:p>
    <w:p>
      <w:pPr>
        <w:spacing w:after="120" w:line="360"/>
      </w:pPr>
      <w:r>
        <w:rPr>
          <w:rFonts w:ascii="Times New Roman" w:cs="Times New Roman" w:eastAsia="Times New Roman" w:hAnsi="Times New Roman"/>
          <w:sz w:val="26"/>
          <w:szCs w:val="26"/>
        </w:rPr>
        <w:t xml:space="preserve">8113.00.00.10 - Phế liệu và mảnh vụn 8113.00.00.90 - Loại khác; Ghi chú: Danh mục tại Phụ lục này bao gồm Mã hàng và Mô tả hàng hóa theo Danh mục hàng hóa xuất khẩu, nhập khẩu Việt Nam.</w:t>
      </w:r>
    </w:p>
    <w:p>
      <w:pPr>
        <w:spacing w:after="120" w:line="360"/>
      </w:pPr>
      <w:r>
        <w:rPr>
          <w:rFonts w:ascii="Times New Roman" w:cs="Times New Roman" w:eastAsia="Times New Roman" w:hAnsi="Times New Roman"/>
          <w:sz w:val="26"/>
          <w:szCs w:val="26"/>
        </w:rPr>
        <w:t xml:space="preserve">Tổ chức, cá nhân thực hiện tra cứu Danh mục hàng hóa xuất khẩu, nhập khẩu Việt Nam để áp dụng.</w:t>
      </w:r>
    </w:p>
    <w:p>
      <w:pPr>
        <w:spacing w:after="120" w:line="360"/>
      </w:pPr>
      <w:r>
        <w:rPr>
          <w:rFonts w:ascii="Times New Roman" w:cs="Times New Roman" w:eastAsia="Times New Roman" w:hAnsi="Times New Roman"/>
          <w:sz w:val="26"/>
          <w:szCs w:val="26"/>
        </w:rPr>
        <w:t xml:space="preserve">PHỤ LỤC III BẢNG KÊ HÀNG HÓA BÁN CHO KHÁCH XUẤT CẢNH TẠI KHU VỰC CÁCH LY, CỬA HÀNG MIỄN THUẾ (Kèm theo Nghị định số 181/2025/NĐ-CP ngày 01 tháng 7 năm 2025 của Chính phủ) (01) Tên doanh nghiệp: (02) Mã số thuế: (03) Cửa hàng/kho chứa hàng: (04) Quốc gia/vùng lãnh thổ giao hàng: STT Thông tin người mua hàng Thông tin người mua hàng Thông tin người mua hàng Thông tin người mua hàng Thông tin người mua hàng Thông tin hàng hóa Thông tin hàng hóa Thông tin hàng hóa Thông tin hàng hóa Số hóa đơn Ngày hóa đơn Họ tên Quốc tịch Số hộ chiếu/số giấy thông hành/số giấy tờ có giá trị đi lại quốc tế Ngày cấp Tên hàng Đơn vị tính Số lượng Trị giá (05) (06) (07) (08) (09) (10) (11) (12) (13) (14) (15) ĐẠI DIỆN THEO PHÁP LUẬT CỦA DOANH NGHIỆP (Ký tên và đóng dấu) PHỤ LỤC IV HOÀN THUẾ ĐỐI VỚI HÀNG HÓA MUA TẠI VIỆT NAM MANG THEO KHI XUẤT CẢNH CỦA NGƯỜI NƯỚC NGOÀI, NGƯỜI VIỆT NAM ĐỊNH CƯ Ở NƯỚC NGOÀI MANG HỘ CHIẾU HOẶC GIẤY TỜ CÓ GIÁ TRỊ ĐI LẠI QUỐC TẾ (Kèm theo Nghị định số 181/2025/NĐ-CP ngày 01 tháng 7 năm 2025 của Chính phủ) 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Điều 33 Nghị định này được thực hiện như sau: 1.</w:t>
      </w:r>
    </w:p>
    <w:p>
      <w:pPr>
        <w:spacing w:after="120" w:line="360"/>
      </w:pPr>
      <w:r>
        <w:rPr>
          <w:rFonts w:ascii="Times New Roman" w:cs="Times New Roman" w:eastAsia="Times New Roman" w:hAnsi="Times New Roman"/>
          <w:sz w:val="26"/>
          <w:szCs w:val="26"/>
        </w:rPr>
        <w:t xml:space="preserve">Hàng hóa được hoàn thuế giá trị gia tăng quy định tại Phụ lục này là hàng hóa đáp ứng quy định sau: a) Hàng hóa không thuộc Danh mục hàng hóa cấm xuất khẩu; Danh mục hàng hóa xuất khẩu theo giấy phép của Bộ Công Thương hoặc Danh mục hàng hóa xuất khẩu thuộc diện quản lý chuyên ngành quy định tại Nghị định số 69/2018/NĐ-CP ngày 15 tháng 5 năm 2018 của Chính phủ quy định chi tiết một số điều của Luật Quản lý ngoại thương và các văn bản hướng dẫn Nghị định này.</w:t>
      </w:r>
    </w:p>
    <w:p>
      <w:pPr>
        <w:spacing w:after="120" w:line="360"/>
      </w:pPr>
      <w:r>
        <w:rPr>
          <w:rFonts w:ascii="Times New Roman" w:cs="Times New Roman" w:eastAsia="Times New Roman" w:hAnsi="Times New Roman"/>
          <w:sz w:val="26"/>
          <w:szCs w:val="26"/>
        </w:rPr>
        <w:t xml:space="preserve">b) Hàng hóa không thuộc đối tượng cấm đưa lên tàu bay quy định tại Điều 12 Luật Hàng không dân dụng Việt Nam ngày 29 tháng 6 năm 2006 và các văn bản hướng dẫn thực hiện.</w:t>
      </w:r>
    </w:p>
    <w:p>
      <w:pPr>
        <w:spacing w:after="120" w:line="360"/>
      </w:pPr>
      <w:r>
        <w:rPr>
          <w:rFonts w:ascii="Times New Roman" w:cs="Times New Roman" w:eastAsia="Times New Roman" w:hAnsi="Times New Roman"/>
          <w:sz w:val="26"/>
          <w:szCs w:val="26"/>
        </w:rPr>
        <w:t xml:space="preserve">c) Hàng hóa không thuộc các mặt hàng được hoàn thuế giá trị gia tăng của người nước ngoài, người Việt Nam định cư ở nước ngoài theo quy định tại Thông tư số 08/2003/TT-BTC ngày 15 tháng 01 năm 2003 của Bộ trưởng Bộ Tài chính hướng dẫn hoàn thuế giá trị gia tăng đối với cơ quan đại diện ngoại giao, cơ quan lãnh sự và cơ quan đại diện của tổ chức quốc tế tại Việt Nam.</w:t>
      </w:r>
    </w:p>
    <w:p>
      <w:pPr>
        <w:spacing w:after="120" w:line="360"/>
      </w:pPr>
      <w:r>
        <w:rPr>
          <w:rFonts w:ascii="Times New Roman" w:cs="Times New Roman" w:eastAsia="Times New Roman" w:hAnsi="Times New Roman"/>
          <w:sz w:val="26"/>
          <w:szCs w:val="26"/>
        </w:rPr>
        <w:t xml:space="preserve">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pPr>
        <w:spacing w:after="120" w:line="360"/>
      </w:pPr>
      <w:r>
        <w:rPr>
          <w:rFonts w:ascii="Times New Roman" w:cs="Times New Roman" w:eastAsia="Times New Roman" w:hAnsi="Times New Roman"/>
          <w:sz w:val="26"/>
          <w:szCs w:val="26"/>
        </w:rPr>
        <w:t xml:space="preserve">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Số tiền được hoàn thuế, đồng tiền hoàn thuế giá trị gia tăng 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spacing w:after="120" w:line="360"/>
      </w:pPr>
      <w:r>
        <w:rPr>
          <w:rFonts w:ascii="Times New Roman" w:cs="Times New Roman" w:eastAsia="Times New Roman" w:hAnsi="Times New Roman"/>
          <w:sz w:val="26"/>
          <w:szCs w:val="26"/>
        </w:rPr>
        <w:t xml:space="preserve">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spacing w:after="120" w:line="360"/>
      </w:pPr>
      <w:r>
        <w:rPr>
          <w:rFonts w:ascii="Times New Roman" w:cs="Times New Roman" w:eastAsia="Times New Roman" w:hAnsi="Times New Roman"/>
          <w:sz w:val="26"/>
          <w:szCs w:val="26"/>
        </w:rPr>
        <w:t xml:space="preserve">b) Đồng tiền hoàn thuế là đồng Việt Nam.</w:t>
      </w:r>
    </w:p>
    <w:p>
      <w:pPr>
        <w:spacing w:after="120" w:line="360"/>
      </w:pPr>
      <w:r>
        <w:rPr>
          <w:rFonts w:ascii="Times New Roman" w:cs="Times New Roman" w:eastAsia="Times New Roman" w:hAnsi="Times New Roman"/>
          <w:sz w:val="26"/>
          <w:szCs w:val="26"/>
        </w:rPr>
        <w:t xml:space="preserve">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pPr>
        <w:spacing w:after="120" w:line="360"/>
      </w:pPr>
      <w:r>
        <w:rPr>
          <w:rFonts w:ascii="Times New Roman" w:cs="Times New Roman" w:eastAsia="Times New Roman" w:hAnsi="Times New Roman"/>
          <w:sz w:val="26"/>
          <w:szCs w:val="26"/>
        </w:rPr>
        <w:t xml:space="preserve">Tỷ giá chuyển đổi là tỷ giá do ngân hàng thương mại niêm yết tại thời điểm chuyển đổi và phù hợp với quy định của Ngân hàng Nhà nước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hoàn thuế giá trị gia tăng 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pPr>
        <w:spacing w:after="120" w:line="360"/>
      </w:pPr>
      <w:r>
        <w:rPr>
          <w:rFonts w:ascii="Times New Roman" w:cs="Times New Roman" w:eastAsia="Times New Roman" w:hAnsi="Times New Roman"/>
          <w:sz w:val="26"/>
          <w:szCs w:val="26"/>
        </w:rPr>
        <w:t xml:space="preserve">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thủ tục hoàn thuế giá trị gia tăng cho người nước ngoài, người Việt Nam định cư ở nước ngoài khi xuất cảnh a) Người nước ngoài, người Việt Nam định cư ở nước ngoài xuất trình cho cơ quan hải quan tại quầy kiểm tra hóa đơn giá trị gia tăng kiêm tờ khai hoàn thuế, hàng hóa, các giấy tờ sau đây: a1) Hộ chiếu hoặc giấy tờ nhập xuất cảnh.</w:t>
      </w:r>
    </w:p>
    <w:p>
      <w:pPr>
        <w:spacing w:after="120" w:line="360"/>
      </w:pPr>
      <w:r>
        <w:rPr>
          <w:rFonts w:ascii="Times New Roman" w:cs="Times New Roman" w:eastAsia="Times New Roman" w:hAnsi="Times New Roman"/>
          <w:sz w:val="26"/>
          <w:szCs w:val="26"/>
        </w:rPr>
        <w:t xml:space="preserve">a2) Hóa đơn giá trị gia tăng kiêm tờ khai hoàn thuế theo quy định của Bộ Tài chính.</w:t>
      </w:r>
    </w:p>
    <w:p>
      <w:pPr>
        <w:spacing w:after="120" w:line="360"/>
      </w:pPr>
      <w:r>
        <w:rPr>
          <w:rFonts w:ascii="Times New Roman" w:cs="Times New Roman" w:eastAsia="Times New Roman" w:hAnsi="Times New Roman"/>
          <w:sz w:val="26"/>
          <w:szCs w:val="26"/>
        </w:rPr>
        <w:t xml:space="preserve">a3) Hàng hóa.</w:t>
      </w:r>
    </w:p>
    <w:p>
      <w:pPr>
        <w:spacing w:after="120" w:line="360"/>
      </w:pPr>
      <w:r>
        <w:rPr>
          <w:rFonts w:ascii="Times New Roman" w:cs="Times New Roman" w:eastAsia="Times New Roman" w:hAnsi="Times New Roman"/>
          <w:sz w:val="26"/>
          <w:szCs w:val="26"/>
        </w:rPr>
        <w:t xml:space="preserve">b) Cơ quan hải quan kiểm tra thực tế hàng hóa tại quầy kiểm tra hóa đơn giá trị gia tăng kiêm tờ khai hoàn thuế, hàng hóa.</w:t>
      </w:r>
    </w:p>
    <w:p>
      <w:pPr>
        <w:spacing w:after="120" w:line="360"/>
      </w:pPr>
      <w:r>
        <w:rPr>
          <w:rFonts w:ascii="Times New Roman" w:cs="Times New Roman" w:eastAsia="Times New Roman" w:hAnsi="Times New Roman"/>
          <w:sz w:val="26"/>
          <w:szCs w:val="26"/>
        </w:rPr>
        <w:t xml:space="preserve">Việc kiểm tra thực hiện như sau: 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điểm 1 Phụ lục này.</w:t>
      </w:r>
    </w:p>
    <w:p>
      <w:pPr>
        <w:spacing w:after="120" w:line="360"/>
      </w:pPr>
      <w:r>
        <w:rPr>
          <w:rFonts w:ascii="Times New Roman" w:cs="Times New Roman" w:eastAsia="Times New Roman" w:hAnsi="Times New Roman"/>
          <w:sz w:val="26"/>
          <w:szCs w:val="26"/>
        </w:rPr>
        <w:t xml:space="preserve">b2) Kiểm tra thực tế hàng hóa đối với hàng hóa phải kiểm tra thực tế theo nguyên tắc quản lý rủi ro.</w:t>
      </w:r>
    </w:p>
    <w:p>
      <w:pPr>
        <w:spacing w:after="120" w:line="360"/>
      </w:pPr>
      <w:r>
        <w:rPr>
          <w:rFonts w:ascii="Times New Roman" w:cs="Times New Roman" w:eastAsia="Times New Roman" w:hAnsi="Times New Roman"/>
          <w:sz w:val="26"/>
          <w:szCs w:val="26"/>
        </w:rPr>
        <w:t xml:space="preserve">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w:t>
      </w:r>
    </w:p>
    <w:p>
      <w:pPr>
        <w:spacing w:after="120" w:line="360"/>
      </w:pPr>
      <w:r>
        <w:rPr>
          <w:rFonts w:ascii="Times New Roman" w:cs="Times New Roman" w:eastAsia="Times New Roman" w:hAnsi="Times New Roman"/>
          <w:sz w:val="26"/>
          <w:szCs w:val="26"/>
        </w:rPr>
        <w:t xml:space="preserve">Trường hợp thông tin trao đổi với doanh nghiệp bán hàng không khớp đúng với thông tin hàng hóa, hóa đơn và hộ chiếu thì cơ quan hải quan từ chối hoàn thuế.</w:t>
      </w:r>
    </w:p>
    <w:p>
      <w:pPr>
        <w:spacing w:after="120" w:line="360"/>
      </w:pPr>
      <w:r>
        <w:rPr>
          <w:rFonts w:ascii="Times New Roman" w:cs="Times New Roman" w:eastAsia="Times New Roman" w:hAnsi="Times New Roman"/>
          <w:sz w:val="26"/>
          <w:szCs w:val="26"/>
        </w:rPr>
        <w:t xml:space="preserve">b3) Ghi kết quả kiểm tra, đóng dấu đồng ý hoàn thuế hay từ chối hoàn thuế.</w:t>
      </w:r>
    </w:p>
    <w:p>
      <w:pPr>
        <w:spacing w:after="120" w:line="360"/>
      </w:pPr>
      <w:r>
        <w:rPr>
          <w:rFonts w:ascii="Times New Roman" w:cs="Times New Roman" w:eastAsia="Times New Roman" w:hAnsi="Times New Roman"/>
          <w:sz w:val="26"/>
          <w:szCs w:val="26"/>
        </w:rPr>
        <w:t xml:space="preserve">Trường hợp cơ quan hải quan đồng ý hoàn thuế thì xác định mặt hàng, tính số tiền thuế giá trị gia tăng người nước ngoài, người Việt Nam định cư ở nước ngoài thực tế được hoàn theo quy định tại điểm 2 Phụ lục này.</w:t>
      </w:r>
    </w:p>
    <w:p>
      <w:pPr>
        <w:spacing w:after="120" w:line="360"/>
      </w:pPr>
      <w:r>
        <w:rPr>
          <w:rFonts w:ascii="Times New Roman" w:cs="Times New Roman" w:eastAsia="Times New Roman" w:hAnsi="Times New Roman"/>
          <w:sz w:val="26"/>
          <w:szCs w:val="26"/>
        </w:rPr>
        <w:t xml:space="preserve">b4) Cập nhật thông tin hoàn thuế giá trị gia tăng cho người nước ngoài, người Việt Nam định cư ở nước ngoài vào Hệ thống theo hướng dẫn của Bộ Tài chính, ký số.</w:t>
      </w:r>
    </w:p>
    <w:p>
      <w:pPr>
        <w:spacing w:after="120" w:line="360"/>
      </w:pPr>
      <w:r>
        <w:rPr>
          <w:rFonts w:ascii="Times New Roman" w:cs="Times New Roman" w:eastAsia="Times New Roman" w:hAnsi="Times New Roman"/>
          <w:sz w:val="26"/>
          <w:szCs w:val="26"/>
        </w:rPr>
        <w:t xml:space="preserve">Trường hợp Hệ thống xảy ra sự cố, cơ quan hải quan ký, đóng dấu xác nhận đồng ý hoàn thuế hay từ chối hoàn thuế vào hóa đơn giá trị gia tăng kiêm tờ khai hoàn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Hoàn trả tiền thuế cho người nước ngoài, người Việt Nam định cư ở nước ngoài 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 a1) Thẻ lên tàu bay, tàu biển.</w:t>
      </w:r>
    </w:p>
    <w:p>
      <w:pPr>
        <w:spacing w:after="120" w:line="360"/>
      </w:pPr>
      <w:r>
        <w:rPr>
          <w:rFonts w:ascii="Times New Roman" w:cs="Times New Roman" w:eastAsia="Times New Roman" w:hAnsi="Times New Roman"/>
          <w:sz w:val="26"/>
          <w:szCs w:val="26"/>
        </w:rPr>
        <w:t xml:space="preserve">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pPr>
        <w:spacing w:after="120" w:line="360"/>
      </w:pPr>
      <w:r>
        <w:rPr>
          <w:rFonts w:ascii="Times New Roman" w:cs="Times New Roman" w:eastAsia="Times New Roman" w:hAnsi="Times New Roman"/>
          <w:sz w:val="26"/>
          <w:szCs w:val="26"/>
        </w:rPr>
        <w:t xml:space="preserve">b) Ngân hàng thương mại thực hiện: 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pPr>
        <w:spacing w:after="120" w:line="360"/>
      </w:pPr>
      <w:r>
        <w:rPr>
          <w:rFonts w:ascii="Times New Roman" w:cs="Times New Roman" w:eastAsia="Times New Roman" w:hAnsi="Times New Roman"/>
          <w:sz w:val="26"/>
          <w:szCs w:val="26"/>
        </w:rPr>
        <w:t xml:space="preserve">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w:t>
      </w:r>
    </w:p>
    <w:p>
      <w:pPr>
        <w:spacing w:after="120" w:line="360"/>
      </w:pPr>
      <w:r>
        <w:rPr>
          <w:rFonts w:ascii="Times New Roman" w:cs="Times New Roman" w:eastAsia="Times New Roman" w:hAnsi="Times New Roman"/>
          <w:sz w:val="26"/>
          <w:szCs w:val="26"/>
        </w:rPr>
        <w:t xml:space="preserve">Trường hợp thông tin trao đổi với cơ quan hải quan không khớp đúng với thông tin trên thẻ lên tàu bay, tàu biển thì ngân hàng thương mại từ chối hoàn thuế và thông báo trên Hệ thống để cơ quan hải quan biết.</w:t>
      </w:r>
    </w:p>
    <w:p>
      <w:pPr>
        <w:spacing w:after="120" w:line="360"/>
      </w:pPr>
      <w:r>
        <w:rPr>
          <w:rFonts w:ascii="Times New Roman" w:cs="Times New Roman" w:eastAsia="Times New Roman" w:hAnsi="Times New Roman"/>
          <w:sz w:val="26"/>
          <w:szCs w:val="26"/>
        </w:rPr>
        <w:t xml:space="preserve">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pPr>
        <w:spacing w:after="120" w:line="360"/>
      </w:pPr>
      <w:r>
        <w:rPr>
          <w:rFonts w:ascii="Times New Roman" w:cs="Times New Roman" w:eastAsia="Times New Roman" w:hAnsi="Times New Roman"/>
          <w:sz w:val="26"/>
          <w:szCs w:val="26"/>
        </w:rPr>
        <w:t xml:space="preserve">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pPr>
        <w:spacing w:after="120" w:line="360"/>
      </w:pPr>
      <w:r>
        <w:rPr>
          <w:rFonts w:ascii="Times New Roman" w:cs="Times New Roman" w:eastAsia="Times New Roman" w:hAnsi="Times New Roman"/>
          <w:sz w:val="26"/>
          <w:szCs w:val="26"/>
        </w:rPr>
        <w:t xml:space="preserve">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pPr>
        <w:spacing w:after="120" w:line="360"/>
      </w:pPr>
      <w:r>
        <w:rPr>
          <w:rFonts w:ascii="Times New Roman" w:cs="Times New Roman" w:eastAsia="Times New Roman" w:hAnsi="Times New Roman"/>
          <w:sz w:val="26"/>
          <w:szCs w:val="26"/>
        </w:rPr>
        <w:t xml:space="preserve">Trường hợp Hệ thống xảy ra sự cố, ngân hàng thương mại căn cứ hóa đơn giá trị gia tăng kiêm tờ khai hoàn thuế giấy và xác nhận của cơ quan hải quan theo quy định tại tiết b4 điểm 4 Phụ lục này, thực hiện hoàn trả tiền thuế cho người nước ngoài, người Việt Nam định cư ở nước ngoài theo quy định tại điểm 2 Phụ lục này, đồng thời ký tên, đóng dấu xác nhận đã thanh toán tiền hoàn thuế cho người nước ngoài, người Việt Nam định cư ở nước ngoài lên hóa đơn giá trị gia tăng kiêm tờ khai hoàn thuế.</w:t>
      </w:r>
    </w:p>
    <w:p>
      <w:pPr>
        <w:spacing w:after="120" w:line="360"/>
      </w:pPr>
      <w:r>
        <w:rPr>
          <w:rFonts w:ascii="Times New Roman" w:cs="Times New Roman" w:eastAsia="Times New Roman" w:hAnsi="Times New Roman"/>
          <w:sz w:val="26"/>
          <w:szCs w:val="26"/>
        </w:rPr>
        <w:t xml:space="preserve">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pPr>
        <w:spacing w:after="120" w:line="360"/>
      </w:pPr>
      <w:r>
        <w:rPr>
          <w:rFonts w:ascii="Times New Roman" w:cs="Times New Roman" w:eastAsia="Times New Roman" w:hAnsi="Times New Roman"/>
          <w:sz w:val="26"/>
          <w:szCs w:val="26"/>
        </w:rPr>
        <w:t xml:space="preserve">b4) Trả lại người nước ngoài, người Việt Nam định cư ở nước ngoài thẻ lên tàu bay, tàu biển.</w:t>
      </w:r>
    </w:p>
    <w:p>
      <w:pPr>
        <w:spacing w:after="120" w:line="360"/>
      </w:pPr>
      <w:r>
        <w:rPr>
          <w:rFonts w:ascii="Times New Roman" w:cs="Times New Roman" w:eastAsia="Times New Roman" w:hAnsi="Times New Roman"/>
          <w:sz w:val="26"/>
          <w:szCs w:val="26"/>
        </w:rPr>
        <w:t xml:space="preserve">b5) Lưu trữ hồ sơ hoàn thuế đối với chứng từ điện tử và chứng từ giấy theo quy định của pháp luật.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thủ tục hoàn thuế giá trị gia tăng cho ngân hàng thương mại là đại lý hoàn thuế giá trị gia tăng cho khách xuất cảnh thực hiện theo quy định của pháp luật về quản lý thuế.</w:t>
      </w:r>
    </w:p>
    <w:p>
      <w:pPr>
        <w:spacing w:after="120" w:line="360"/>
      </w:pPr>
      <w:r>
        <w:rPr>
          <w:rFonts w:ascii="Times New Roman" w:cs="Times New Roman" w:eastAsia="Times New Roman" w:hAnsi="Times New Roman"/>
          <w:sz w:val="26"/>
          <w:szCs w:val="26"/>
        </w:rPr>
        <w:t xml:space="preserve">PHỤ LỤC V XÁC ĐỊNH TỶ TRỌNG TRỊ GIÁ TÀI NGUYÊN, KHOÁNG SẢN VÀ CHI PHÍ NĂNG LƯỢNG TRÊN GIÁ THÀNH SẢN PHẨM (Kèm theo Nghị định số 181/2025/NĐ-CP ngày 01 tháng 7 năm 2025 của Chính phủ) 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Tài nguyên, khoáng sản là tài nguyên, khoáng sản có nguồn gốc trong nước gồm: Khoáng sản kim loại; khoáng sản không kim loại; dầu thô; khí thiên nhiên; khí than.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tỷ trọng trị giá tài nguyên, khoáng sản và chi phí năng lượng trên giá thành được thực hiện theo công thức: Tỷ trọng trị giá tài nguyên, khoáng sản và chi phí năng lượng trên giá thành sản xuất sản phẩm = Trị giá tài nguyên, khoáng sản + chi phí năng lượng x 100% Tổng giá thành sản xuất sản phẩm Trong đó: 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spacing w:after="120" w:line="360"/>
      </w:pPr>
      <w:r>
        <w:rPr>
          <w:rFonts w:ascii="Times New Roman" w:cs="Times New Roman" w:eastAsia="Times New Roman" w:hAnsi="Times New Roman"/>
          <w:sz w:val="26"/>
          <w:szCs w:val="26"/>
        </w:rPr>
        <w:t xml:space="preserve">Chi phí năng lượng gồm: nhiên liệu, điện năng, nhiệt năng.</w:t>
      </w:r>
    </w:p>
    <w:p>
      <w:pPr>
        <w:spacing w:after="120" w:line="360"/>
      </w:pPr>
      <w:r>
        <w:rPr>
          <w:rFonts w:ascii="Times New Roman" w:cs="Times New Roman" w:eastAsia="Times New Roman" w:hAnsi="Times New Roman"/>
          <w:sz w:val="26"/>
          <w:szCs w:val="26"/>
        </w:rPr>
        <w:t xml:space="preserve">Trị giá tài nguyên, khoáng sản và chi phí năng lượng được xác định theo giá trị ghi sổ kế toán phù hợp với Bảng tổng hợp tính giá thành sản phẩm.</w:t>
      </w:r>
    </w:p>
    <w:p>
      <w:pPr>
        <w:spacing w:after="120" w:line="360"/>
      </w:pPr>
      <w:r>
        <w:rPr>
          <w:rFonts w:ascii="Times New Roman" w:cs="Times New Roman" w:eastAsia="Times New Roman" w:hAnsi="Times New Roman"/>
          <w:sz w:val="26"/>
          <w:szCs w:val="26"/>
        </w:rPr>
        <w:t xml:space="preserve">Giá thành sản xuất sản phẩm bao gồm: Chi phí nguyên vật liệu trực tiếp, chi phí nhân công trực tiếp và chi phí sản xuất chung.</w:t>
      </w:r>
    </w:p>
    <w:p>
      <w:pPr>
        <w:spacing w:after="120" w:line="360"/>
      </w:pPr>
      <w:r>
        <w:rPr>
          <w:rFonts w:ascii="Times New Roman" w:cs="Times New Roman" w:eastAsia="Times New Roman" w:hAnsi="Times New Roman"/>
          <w:sz w:val="26"/>
          <w:szCs w:val="26"/>
        </w:rPr>
        <w:t xml:space="preserve">Các chi phí gián tiếp như chi phí bán hàng, chi phí quản lý, chi phí tài chính và chi phí khác không được tính vào giá thành sản xuất sản phẩm.</w:t>
      </w:r>
    </w:p>
    <w:p>
      <w:pPr>
        <w:spacing w:after="120" w:line="360"/>
      </w:pPr>
      <w:r>
        <w:rPr>
          <w:rFonts w:ascii="Times New Roman" w:cs="Times New Roman" w:eastAsia="Times New Roman" w:hAnsi="Times New Roman"/>
          <w:sz w:val="26"/>
          <w:szCs w:val="26"/>
        </w:rPr>
        <w:t xml:space="preserve">Tỷ lệ trị giá tài nguyên, khoáng sản và chi phí năng lượng trên giá thành sản xuất sản phẩm được xác định căn cứ vào quyết toán năm trước và tỷ lệ này được áp dụng ổn định trong năm xuất khẩu.</w:t>
      </w:r>
    </w:p>
    <w:p>
      <w:pPr>
        <w:spacing w:after="120" w:line="360"/>
      </w:pPr>
      <w:r>
        <w:rPr>
          <w:rFonts w:ascii="Times New Roman" w:cs="Times New Roman" w:eastAsia="Times New Roman" w:hAnsi="Times New Roman"/>
          <w:sz w:val="26"/>
          <w:szCs w:val="26"/>
        </w:rPr>
        <w:t xml:space="preserve">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2026-08-31T08:15:53.817Z</dcterms:created>
  <dcterms:modified xsi:type="dcterms:W3CDTF">2026-08-31T08:15:53.817Z</dcterms:modified>
</cp:coreProperties>
</file>

<file path=docProps/custom.xml><?xml version="1.0" encoding="utf-8"?>
<Properties xmlns="http://schemas.openxmlformats.org/officeDocument/2006/custom-properties" xmlns:vt="http://schemas.openxmlformats.org/officeDocument/2006/docPropsVTypes"/>
</file>