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20/2025/NĐ-CP sửa đổi, bổ sung một số điều của Nghị định 132/2020/NĐ-CP về giao dịch liên kết</w:t>
      </w:r>
    </w:p>
    <w:p>
      <w:pPr>
        <w:spacing w:after="360"/>
        <w:jc w:val="center"/>
      </w:pPr>
      <w:r>
        <w:rPr>
          <w:rFonts w:ascii="Times New Roman" w:cs="Times New Roman" w:eastAsia="Times New Roman" w:hAnsi="Times New Roman"/>
          <w:i/>
          <w:iCs/>
          <w:sz w:val="22"/>
          <w:szCs w:val="22"/>
        </w:rPr>
        <w:t xml:space="preserve">Số hiệu: 20/2025/NĐ-CP | Cơ quan ban hành: Chính phủ | Ngày ban hành: 2025-02-14</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20/2025/NĐ-CP Hà Nội, ngày 10 tháng 02 năm 2025 NGHỊ ĐỊNH SỬA ĐỔI, BỔ SUNG MỘT SỐ ĐIỀU CỦA NGHỊ ĐỊNH SỐ 132/2020/NĐ-CP NGÀY 05 THÁNG 11 NĂM 2020 CỦA CHÍNH PHỦ QUY ĐỊNH VỀ QUẢN LÝ THUẾ ĐỐI VỚI DOANH NGHIỆP CÓ GIAO DỊCH LIÊN KẾT Căn cứ Luật Tổ chức Chính phủ ngày 19 tháng 6 năm 2015; Luật sửa đổi, bổ sung một số điều của Luật Tổ chức Chính phủ và Luật Tổ chức chính quyền địa phương ngày 22 tháng 11 năm 2019; Căn cứ Luật Quản lý thuế ngày 13 tháng 6 năm 2019; Căn cứ Luật Thuế thu nhập doanh nghiệp ngày 03 tháng 6 năm 2008; Luật sửa đổi, bổ sung một số điều của Luật Thuế thu nhập doanh nghiệp ngày 19 tháng 6 năm 2013; Căn cứ Luật sửa đổi, bổ sung một số điều của Luật về thuế ngày 26 tháng 11 năm 2014; Theo đề nghị của Bộ trưởng Bộ Tài chính; Chính phủ ban hành Nghị định sửa đổi, bổ sung một số điều của Nghị định số 132/2020/NĐ-CP ngày 05 tháng 11 năm 2020 của Chính phủ quy định về quản lý thuế đối với doanh nghiệp có giao dịch liên kết.</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điều của Nghị định số 132/2020/NĐ-CP ngày 05 tháng 11 năm 2020 của Chính phủ quy định về quản lý thuế đối với doanh nghiệp có giao dịch liên kết 1.</w:t>
      </w:r>
    </w:p>
    <w:p>
      <w:pPr>
        <w:spacing w:after="120" w:line="360"/>
      </w:pPr>
      <w:r>
        <w:rPr>
          <w:rFonts w:ascii="Times New Roman" w:cs="Times New Roman" w:eastAsia="Times New Roman" w:hAnsi="Times New Roman"/>
          <w:sz w:val="26"/>
          <w:szCs w:val="26"/>
        </w:rPr>
        <w:t xml:space="preserve">Sửa đổi, bổ sung điểm d, điểm k và bổ sung điểm m khoản 2 Điều 5 như sau: a) Sửa đổi, bổ sung điểm d như sau: “d)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tổng dư nợ các khoản vốn vay của doanh nghiệp đi vay với doanh nghiệp cho vay hoặc bảo lãnh ít nhất bằng 25% vốn góp của chủ sở hữu của doanh nghiệp đi vay và chiếm trên 50% tổng dư nợ tất cả các khoản nợ trung và dài hạn của doanh nghiệp đi vay.</w:t>
      </w:r>
    </w:p>
    <w:p>
      <w:pPr>
        <w:spacing w:after="120" w:line="360"/>
      </w:pPr>
      <w:r>
        <w:rPr>
          <w:rFonts w:ascii="Times New Roman" w:cs="Times New Roman" w:eastAsia="Times New Roman" w:hAnsi="Times New Roman"/>
          <w:sz w:val="26"/>
          <w:szCs w:val="26"/>
        </w:rPr>
        <w:t xml:space="preserve">Quy định tại điểm d khoản này không áp dụng với các trường hợp sau: d.1) Bên bảo lãnh hoặc cho vay là các tổ chức kinh tế hoạt động theo quy định của Luật các tổ chức tín dụng không tham gia trực tiếp, gián tiếp điều hành, kiểm soát, góp vốn, đầu tư vào doanh nghiệp đi vay hoặc doanh nghiệp được bảo lãnh theo quy định tại các điểm a, c, đ, e, g, h, k, l và m khoản này.</w:t>
      </w:r>
    </w:p>
    <w:p>
      <w:pPr>
        <w:spacing w:after="120" w:line="360"/>
      </w:pPr>
      <w:r>
        <w:rPr>
          <w:rFonts w:ascii="Times New Roman" w:cs="Times New Roman" w:eastAsia="Times New Roman" w:hAnsi="Times New Roman"/>
          <w:sz w:val="26"/>
          <w:szCs w:val="26"/>
        </w:rPr>
        <w:t xml:space="preserve">d.2) Bên bảo lãnh hoặc cho vay là các tổ chức kinh tế hoạt động theo quy định của Luật các tổ chức tín dụng và doanh nghiệp đi vay hoặc được bảo lãnh không trực tiếp, gián tiếp cùng chịu sự điều hành, kiểm soát, góp vốn, đầu tư của một bên khác theo quy định tại các điểm b, e và i khoản này.” b) Sửa đổi, bổ sung điểm k như sau: “k) Các trường hợp khác trong đó doanh nghiệp (bao gồm cả chi nhánh hạch toán độc lập thực hiện kê khai, nộp thuế thu nhập doanh nghiệp) chịu sự điều hành, kiểm soát, quyết định trên thực tế đối với hoạt động sản xuất kinh doanh của doanh nghiệp kia;” c) Bổ sung điểm m như sau: “m) Tổ chức tín dụng với Công ty con hoặc với Công ty kiểm soát hoặc với Công ty liên kết của tổ chức tín dụng theo quy định tại Luật Các tổ chức tín dụng và các văn bản sửa đổi, bổ sung hoặc thay thế (nếu có);” 2.</w:t>
      </w:r>
    </w:p>
    <w:p>
      <w:pPr>
        <w:spacing w:after="120" w:line="360"/>
      </w:pPr>
      <w:r>
        <w:rPr>
          <w:rFonts w:ascii="Times New Roman" w:cs="Times New Roman" w:eastAsia="Times New Roman" w:hAnsi="Times New Roman"/>
          <w:sz w:val="26"/>
          <w:szCs w:val="26"/>
        </w:rPr>
        <w:t xml:space="preserve">Sửa đổi, bổ sung khoản 2 Điều 21 như sau: “2.</w:t>
      </w:r>
    </w:p>
    <w:p>
      <w:pPr>
        <w:spacing w:after="120" w:line="360"/>
      </w:pPr>
      <w:r>
        <w:rPr>
          <w:rFonts w:ascii="Times New Roman" w:cs="Times New Roman" w:eastAsia="Times New Roman" w:hAnsi="Times New Roman"/>
          <w:sz w:val="26"/>
          <w:szCs w:val="26"/>
        </w:rPr>
        <w:t xml:space="preserve">Ngân hàng Nhà nước trong phạm vi nhiệm vụ, quyền hạn của mình có trách nhiệm: 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pPr>
        <w:spacing w:after="120" w:line="360"/>
      </w:pPr>
      <w:r>
        <w:rPr>
          <w:rFonts w:ascii="Times New Roman" w:cs="Times New Roman" w:eastAsia="Times New Roman" w:hAnsi="Times New Roman"/>
          <w:sz w:val="26"/>
          <w:szCs w:val="26"/>
        </w:rPr>
        <w:t xml:space="preserve">Phối hợp cung cấp thông tin được báo cáo theo quy định pháp luật về người có liên quan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người có liên quan của cổ đông sở hữu từ 01% vốn điều lệ trở lên của tổ chức tín dụng; Công ty liên kết của tổ chức tín dụng theo hệ thống thông tin dữ liệu quản lý của Ngân hàng Nhà nước khi cơ quan thuế đề nghị.” Điều 2.</w:t>
      </w:r>
    </w:p>
    <w:p>
      <w:pPr>
        <w:spacing w:after="120" w:line="360"/>
      </w:pPr>
      <w:r>
        <w:rPr>
          <w:rFonts w:ascii="Times New Roman" w:cs="Times New Roman" w:eastAsia="Times New Roman" w:hAnsi="Times New Roman"/>
          <w:sz w:val="26"/>
          <w:szCs w:val="26"/>
        </w:rPr>
        <w:t xml:space="preserve">Thay thế Phụ lục I - Thông tin về quan hệ liên kết và giao dịch liên kết ban hành kèm theo Nghị định số 132/2020/NĐ-CP ngày 05 tháng 11 năm 2020 của Chính phủ quy định về quản lý thuế đối với doanh nghiệp có giao dịch liên kết bằng Phụ lục I ban hành kèm theo Nghị định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 định chuyển tiếp Trường hợp, tại kỳ tính thuế thu nhập doanh nghiệp năm 2020, năm 2021, năm 2022 và năm 2023, doanh nghiệp đi vay chỉ có quan hệ liên kết với tổ chức kinh tế hoạt động theo quy định của Luật Các tổ chức tín dụng quy định tại điểm d khoản 2 Điều 5 Nghị định số 132/2020/NĐ-CP và doanh nghiệp đi vay với bên cho vay hoặc bảo lãnh thuộc trường hợp quy định tại điểm d.1 và điểm d.2 khoản 2 Điều 5 Nghị định số 132/2020/NĐ-CP được sửa đổi, bổ sung tại Điều 1 Nghị định này, có giao dịch liên kết thuộc phạm vi điều chỉnh tại khoản 2 Điều 1 Nghị định số 132/2020/NĐ-CP và có chi phí lãi vay không được trừ theo quy định tại điểm a khoản 3 Điều 16 Nghị định số 132/2020/NĐ-CP thì kể từ kỳ tính thuế năm 2024 thực hiện như sau: 1.</w:t>
      </w:r>
    </w:p>
    <w:p>
      <w:pPr>
        <w:spacing w:after="120" w:line="360"/>
      </w:pPr>
      <w:r>
        <w:rPr>
          <w:rFonts w:ascii="Times New Roman" w:cs="Times New Roman" w:eastAsia="Times New Roman" w:hAnsi="Times New Roman"/>
          <w:sz w:val="26"/>
          <w:szCs w:val="26"/>
        </w:rPr>
        <w:t xml:space="preserve">Trường hợp doanh nghiệp không có quan hệ liên kết và không phát sinh giao dịch liên kết theo quy định tại Nghị định số 132/2020/NĐ-CP và Nghị định này thì phần chi phí lãi vay không được trừ và chưa được chuyển sang các kỳ tính thuế tiếp theo tính đến cuối kỳ tính thuế năm 2023 được phân bổ đều chuyển sang các kỳ tính thuế tiếp theo cho thời gian còn lại theo quy định về thời gian được chuyển chi phí lãi vay tại điểm b khoản 3 Điều 16 Nghị định số 132/2020/NĐ-CP.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doanh nghiệp có quan hệ liên kết và giao dịch liên kết theo quy định tại Nghị định số 132/2020/NĐ-CP và Nghị định này thì chi phí lãi vay không được trừ và chưa được chuyển sang các kỳ tính thuế tiếp theo thực hiện theo quy định tại điểm b khoản 3 Điều 16 Nghị định số 132/2020/NĐ-CP.</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Tổ chức thực hiện và 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27 tháng 3 năm 2025 và áp dụng từ kỳ tính thuế thu nhập doanh nghiệp năm 2024.</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Giám sát tài chính Quốc gia;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KTTH (2).</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 Phụ lục I (Kèm theo Nghị định số 20/2025/NĐ-CP ngày 10 tháng 02 năm 2025 của Chính phủ) THÔNG TIN VỀ QUAN HỆ LIÊN KẾT VÀ GIAO DỊCH LIÊN KẾT (Kèm theo Tờ khai quyết toán thuế thu nhập doanh nghiệp) Kỳ tính thuế: Từ ……….</w:t>
      </w:r>
    </w:p>
    <w:p>
      <w:pPr>
        <w:spacing w:after="120" w:line="360"/>
      </w:pPr>
      <w:r>
        <w:rPr>
          <w:rFonts w:ascii="Times New Roman" w:cs="Times New Roman" w:eastAsia="Times New Roman" w:hAnsi="Times New Roman"/>
          <w:sz w:val="26"/>
          <w:szCs w:val="26"/>
        </w:rPr>
        <w:t xml:space="preserve">đến ………..</w:t>
      </w:r>
    </w:p>
    <w:p>
      <w:pPr>
        <w:spacing w:after="120" w:line="360"/>
      </w:pPr>
      <w:r>
        <w:rPr>
          <w:rFonts w:ascii="Times New Roman" w:cs="Times New Roman" w:eastAsia="Times New Roman" w:hAnsi="Times New Roman"/>
          <w:sz w:val="26"/>
          <w:szCs w:val="26"/>
        </w:rPr>
        <w:t xml:space="preserve">[01] Tên người nộp thuế ..............................................................................................</w:t>
      </w:r>
    </w:p>
    <w:p>
      <w:pPr>
        <w:spacing w:after="120" w:line="360"/>
      </w:pPr>
      <w:r>
        <w:rPr>
          <w:rFonts w:ascii="Times New Roman" w:cs="Times New Roman" w:eastAsia="Times New Roman" w:hAnsi="Times New Roman"/>
          <w:sz w:val="26"/>
          <w:szCs w:val="26"/>
        </w:rPr>
        <w:t xml:space="preserve">[02] Mã số thuế: [03] Địa chỉ: .................................................................................................................</w:t>
      </w:r>
    </w:p>
    <w:p>
      <w:pPr>
        <w:spacing w:after="120" w:line="360"/>
      </w:pPr>
      <w:r>
        <w:rPr>
          <w:rFonts w:ascii="Times New Roman" w:cs="Times New Roman" w:eastAsia="Times New Roman" w:hAnsi="Times New Roman"/>
          <w:sz w:val="26"/>
          <w:szCs w:val="26"/>
        </w:rPr>
        <w:t xml:space="preserve">[04] Quận/huyện: …………………………… [05] Tỉnh/thành phố: ......................................</w:t>
      </w:r>
    </w:p>
    <w:p>
      <w:pPr>
        <w:spacing w:after="120" w:line="360"/>
      </w:pPr>
      <w:r>
        <w:rPr>
          <w:rFonts w:ascii="Times New Roman" w:cs="Times New Roman" w:eastAsia="Times New Roman" w:hAnsi="Times New Roman"/>
          <w:sz w:val="26"/>
          <w:szCs w:val="26"/>
        </w:rPr>
        <w:t xml:space="preserve">[06] Điện thoại: ………………… [07] Fax: ………………… [08] Email:...............................</w:t>
      </w:r>
    </w:p>
    <w:p>
      <w:pPr>
        <w:spacing w:after="120" w:line="360"/>
      </w:pPr>
      <w:r>
        <w:rPr>
          <w:rFonts w:ascii="Times New Roman" w:cs="Times New Roman" w:eastAsia="Times New Roman" w:hAnsi="Times New Roman"/>
          <w:sz w:val="26"/>
          <w:szCs w:val="26"/>
        </w:rPr>
        <w:t xml:space="preserve">[09] Tên đại lý thuế (nếu có): ........................................................................................</w:t>
      </w:r>
    </w:p>
    <w:p>
      <w:pPr>
        <w:spacing w:after="120" w:line="360"/>
      </w:pPr>
      <w:r>
        <w:rPr>
          <w:rFonts w:ascii="Times New Roman" w:cs="Times New Roman" w:eastAsia="Times New Roman" w:hAnsi="Times New Roman"/>
          <w:sz w:val="26"/>
          <w:szCs w:val="26"/>
        </w:rPr>
        <w:t xml:space="preserve">[10] Mã số thuế: MỤC I.</w:t>
      </w:r>
    </w:p>
    <w:p>
      <w:pPr>
        <w:spacing w:after="120" w:line="360"/>
      </w:pPr>
      <w:r>
        <w:rPr>
          <w:rFonts w:ascii="Times New Roman" w:cs="Times New Roman" w:eastAsia="Times New Roman" w:hAnsi="Times New Roman"/>
          <w:sz w:val="26"/>
          <w:szCs w:val="26"/>
        </w:rPr>
        <w:t xml:space="preserve">THÔNG TIN VỀ CÁC BÊN LIÊN KẾT STT Tên bên liên kết Quốc gia Mã số thuế Hình thức quan hệ liên kết [1] (1) (2) (3) (4) (5) A B C D Đ E G H I K L M 1 2 3 ….</w:t>
      </w:r>
    </w:p>
    <w:p>
      <w:pPr>
        <w:spacing w:after="120" w:line="360"/>
      </w:pPr>
      <w:r>
        <w:rPr>
          <w:rFonts w:ascii="Times New Roman" w:cs="Times New Roman" w:eastAsia="Times New Roman" w:hAnsi="Times New Roman"/>
          <w:sz w:val="26"/>
          <w:szCs w:val="26"/>
        </w:rPr>
        <w:t xml:space="preserve">MỤC II.</w:t>
      </w:r>
    </w:p>
    <w:p>
      <w:pPr>
        <w:spacing w:after="120" w:line="360"/>
      </w:pPr>
      <w:r>
        <w:rPr>
          <w:rFonts w:ascii="Times New Roman" w:cs="Times New Roman" w:eastAsia="Times New Roman" w:hAnsi="Times New Roman"/>
          <w:sz w:val="26"/>
          <w:szCs w:val="26"/>
        </w:rPr>
        <w:t xml:space="preserve">CÁC TRƯỜNG HỢP ĐƯỢC MIỄN KÊ KHAI, MIỄN LẬP HỒ SƠ XÁC ĐỊNH GIÁ GIAO DỊCH LIÊN KẾT STT Trường hợp miễn trừ Thuộc diện miễn trừ [2] (1) (2) (3) 1 Miễn kê khai xác định giá giao dịch liên kết tại mục III, mục IV và được miễn lập Hồ sơ xác định giá giao dịch liên kết 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2 Miễn lập Hồ sơ xác định giá giao dịch liên kết a Người nộp thuế có phát sinh giao dịch liên kết nhưng tổng doanh thu phát sinh của kỳ tính thuế dưới 50 tỷ đồng và tổng giá trị tất cả các giao dịch liên kết phát sinh trong kỳ tính thuế dưới 30 tỷ đồng b Người nộp thuế đã ký kết Thoả thuận trước về phương pháp xác định giá tính thuế thực hiện nộp Báo cáo thường niên theo quy định pháp luật về Thoả thuận trước về phương pháp xác định giá tính thuế c 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 - Phân phối: Từ 5% trở lên - Sản xuất: Từ 10% trở lên - Gia công: Từ 15% trở lên MỤC III.</w:t>
      </w:r>
    </w:p>
    <w:p>
      <w:pPr>
        <w:spacing w:after="120" w:line="360"/>
      </w:pPr>
      <w:r>
        <w:rPr>
          <w:rFonts w:ascii="Times New Roman" w:cs="Times New Roman" w:eastAsia="Times New Roman" w:hAnsi="Times New Roman"/>
          <w:sz w:val="26"/>
          <w:szCs w:val="26"/>
        </w:rPr>
        <w:t xml:space="preserve">THÔNG TIN XÁC ĐỊNH GIÁ GIAO DỊCH LIÊN KẾT Đơn vị tiền: Đồng Việt Nam STT Nội dung Giá trị bán ra cho bên liên kết Giá trị mua vào từ bên liên kết Lợi nhuận tăng do xác định lại theo giá giao dịch độc lập Thu hộ, chi hộ, phân bổ cơ sở thường trú [3] Giao dịch thuộc phạm vi áp dụng APA [4] Giá trị ghi nhận của giao dịch liên kết Giá trị xác định lại theo giá giao dịch độc lập Chênh lệch Phương pháp xác định giá Giá trị ghi nhận của giao dịch liên kết Giá trị xác định lại theo giá giao dịch độc lập Chênh lệch Phương pháp xác định giá (1) (2) (3) (4) (5)=(4)-(3) (6) (7) (8) (9)=(8)-(7) (10) (11)=(5)+(9) (12) (13) I Tổng giá trị giao dịch phát sinh từ hoạt động kinh doanh II Tổng giá trị giao dịch phát sinh từ hoạt động liên kết 1 Hàng hóa 1.1 Hàng hóa hình thành tài sản cố định a Bên liên kết A b Bên liên kết B … 1.2 Hàng hóa không hình thành tài sản cố định a Bên liên kết A b Bên liên kết B … 2 Dịch vụ 2.1 Nghiên cứu, phát triển a Bên liên kết A b Bên liên kết B … 2.2 Quảng cáo, tiếp thị a Bên liên kết A b Bên liên kết B … 2.3 Quản lý kinh doanh và tư vấn, đào tạo a Bên liên kết A b Bên liên kết B … 2.4 Hoạt động tài chính 2.4.1 Phí bản quyền và các khoản tương tự A Bên liên kết A B Bên liên kết B ….</w:t>
      </w:r>
    </w:p>
    <w:p>
      <w:pPr>
        <w:spacing w:after="120" w:line="360"/>
      </w:pPr>
      <w:r>
        <w:rPr>
          <w:rFonts w:ascii="Times New Roman" w:cs="Times New Roman" w:eastAsia="Times New Roman" w:hAnsi="Times New Roman"/>
          <w:sz w:val="26"/>
          <w:szCs w:val="26"/>
        </w:rPr>
        <w:t xml:space="preserve">2.4.2 Lãi vay A Bên liên kết A B Bên liên kết B ….</w:t>
      </w:r>
    </w:p>
    <w:p>
      <w:pPr>
        <w:spacing w:after="120" w:line="360"/>
      </w:pPr>
      <w:r>
        <w:rPr>
          <w:rFonts w:ascii="Times New Roman" w:cs="Times New Roman" w:eastAsia="Times New Roman" w:hAnsi="Times New Roman"/>
          <w:sz w:val="26"/>
          <w:szCs w:val="26"/>
        </w:rPr>
        <w:t xml:space="preserve">2.5 Dịch vụ khác A Bên liên kết A B Bên liên kết B ….</w:t>
      </w:r>
    </w:p>
    <w:p>
      <w:pPr>
        <w:spacing w:after="120" w:line="360"/>
      </w:pPr>
      <w:r>
        <w:rPr>
          <w:rFonts w:ascii="Times New Roman" w:cs="Times New Roman" w:eastAsia="Times New Roman" w:hAnsi="Times New Roman"/>
          <w:sz w:val="26"/>
          <w:szCs w:val="26"/>
        </w:rPr>
        <w:t xml:space="preserve">MỤC IV.</w:t>
      </w:r>
    </w:p>
    <w:p>
      <w:pPr>
        <w:spacing w:after="120" w:line="360"/>
      </w:pPr>
      <w:r>
        <w:rPr>
          <w:rFonts w:ascii="Times New Roman" w:cs="Times New Roman" w:eastAsia="Times New Roman" w:hAnsi="Times New Roman"/>
          <w:sz w:val="26"/>
          <w:szCs w:val="26"/>
        </w:rPr>
        <w:t xml:space="preserve">KẾT QUẢ SẢN XUẤT KINH DOANH SAU KHI XÁC ĐỊNH GIÁ GIAO DỊCH LIÊN KẾT 1.</w:t>
      </w:r>
    </w:p>
    <w:p>
      <w:pPr>
        <w:spacing w:after="120" w:line="360"/>
      </w:pPr>
      <w:r>
        <w:rPr>
          <w:rFonts w:ascii="Times New Roman" w:cs="Times New Roman" w:eastAsia="Times New Roman" w:hAnsi="Times New Roman"/>
          <w:sz w:val="26"/>
          <w:szCs w:val="26"/>
        </w:rPr>
        <w:t xml:space="preserve">Dành cho người nộp thuế thuộc các ngành sản xuất, thương mại, dịch vụ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Doanh thu bán hàng và cung cấp dịch vụ Trong đó: Doanh thu bán hàng hóa, dịch vụ xuất khẩu 2 Các khoản giảm trừ doanh thu 3 Doanh thu thuần về bán hàng và cung cấp dịch vụ (3)=(1)-(2) 4 Giá vốn hàng bán 5 Lợi nhuận gộp về bán hàng và cung cấp dịch vụ (5)=(3)-(4) 6 Chi phí bán hàng 7 Chi phí quản lý doanh nghiệp 8 Doanh thu hoạt động tài chính 8 1 Trong đó: Lãi tiền gửi và lãi cho vay 9 Chi phí tài chính 9.1 Trong đó: Chi phí lãi vay 9.1.a Chi phí lãi vay được trừ trong kỳ 9.1.b Phần chi phí lãi vay trong kỳ không được trừ chuyển sang kỳ sau theo quy định tại điểm b khoản 3 Điều 16 10 Chi phí khấu hao phát sinh trong kỳ 11 Lợi nhuận thuần từ hoạt động sản xuất kinh doanh trong kỳ (11)=(5)-(6)-(7)+(8)-(9) 12 Lợi nhuận thuần từ hoạt động sản xuất kinh doanh trong kỳ không bao gồm chênh lệch doanh thu và chi phí của hoạt động tài chính (12)=(11)-(8)+(9) 13 Tổng lợi nhuận thuần từ hoạt động kinh doanh cộng chi phí lãi vay sau khi trừ lãi tiên gửi và lãi cho vay trong kỳ cộng chi phí khấu hao trong kỳ (13)=(11)+(9.1)-(8.1)+(10) 14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(14)=[(9.1)-(8.1)]/(13) 15 Chi phí lãi vay của các kỳ trước chuyển sang, trong đó: (15)=(15.1)+(15.2)+(15.3)+(15.4)+(15.5) 15.1 - Phần chi phí lãi vay không được trừ từ năm (n-1) chuyển sang kỳ tính thuế (n) 15.2 - Phần chi phi lãi vay không được trừ từ năm (n-2) chuyển sang kỳ tính thuế (n) 15.3 - Phần chi phí lãi vay không được trừ từ năm (n-3) chuyển sang kỳ tính thuế (n) 15.4 - Phần chi phí lãi vay không được trừ từ năm (n-4) chuyển sang kỳ tính thuế (n) 15.5 - Phần chi phí lãi vay không được trừ từ năm (n-5) chuyển sang kỳ tính thuế (n) 16 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 (8.1)+(15)]/(13) 17 Tỷ suất lợi nhuận sử dụng xác định giá giao dịch liên kết 17.1 - Tỷ suất ………………..</w:t>
      </w:r>
    </w:p>
    <w:p>
      <w:pPr>
        <w:spacing w:after="120" w:line="360"/>
      </w:pPr>
      <w:r>
        <w:rPr>
          <w:rFonts w:ascii="Times New Roman" w:cs="Times New Roman" w:eastAsia="Times New Roman" w:hAnsi="Times New Roman"/>
          <w:sz w:val="26"/>
          <w:szCs w:val="26"/>
        </w:rPr>
        <w:t xml:space="preserve">17.2 - Tỷ suất ………………..</w:t>
      </w:r>
    </w:p>
    <w:p>
      <w:pPr>
        <w:spacing w:after="120" w:line="360"/>
      </w:pPr>
      <w:r>
        <w:rPr>
          <w:rFonts w:ascii="Times New Roman" w:cs="Times New Roman" w:eastAsia="Times New Roman" w:hAnsi="Times New Roman"/>
          <w:sz w:val="26"/>
          <w:szCs w:val="26"/>
        </w:rPr>
        <w:t xml:space="preserve">17.3 -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Dành cho người nộp thuế thuộc các ngành ngân hàng, tín dụng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Thu nhập lãi và các khoản thu nhập tương tự 2 Chi phí lãi và các chi phí tương tự 3 Thu nhập lãi thuần (3)=(1)-(2) 4 Thu nhập từ hoạt động dịch vụ 5 Chi phí hoạt động dịch vụ 6 Lãi/lỗ thuần từ hoạt động dịch vụ (6)=(4)-(5) 7 Lãi/lỗ thuần từ hoạt động kinh doanh ngoại hối 8 Lãi/lỗ thuần từ mua bán chứng khoán kinh doanh 9 Lãi/lỗ thuần từ mua bán chứng khoán đầu tư 10 Thu nhập từ hoạt động khác 11 Chi phí hoạt động khác 12 Lãi/lỗ thuần từ hoạt động khác (12)=(10)-(11) 13 Thu nhập từ góp vốn, mua cổ phần 14 Chi phí hoạt động 15 Chi phí dự phòng rủi ro tín dụng 16 Tổng lợi nhuận trước thuế (16)=(3)+(6)+(7)+(8)+(9)+ (12)+(13)-(14)-(15) 17 Lợi nhuận thuần từ hoạt động sản xuất kinh doanh (17=16-12) 18 Tỷ suất lợi nhuận sử dụng xác định giá giao dịch liên kết 18.1 Tỷ suất …………….</w:t>
      </w:r>
    </w:p>
    <w:p>
      <w:pPr>
        <w:spacing w:after="120" w:line="360"/>
      </w:pPr>
      <w:r>
        <w:rPr>
          <w:rFonts w:ascii="Times New Roman" w:cs="Times New Roman" w:eastAsia="Times New Roman" w:hAnsi="Times New Roman"/>
          <w:sz w:val="26"/>
          <w:szCs w:val="26"/>
        </w:rPr>
        <w:t xml:space="preserve">18.2 Tỷ suất …………….</w:t>
      </w:r>
    </w:p>
    <w:p>
      <w:pPr>
        <w:spacing w:after="120" w:line="360"/>
      </w:pPr>
      <w:r>
        <w:rPr>
          <w:rFonts w:ascii="Times New Roman" w:cs="Times New Roman" w:eastAsia="Times New Roman" w:hAnsi="Times New Roman"/>
          <w:sz w:val="26"/>
          <w:szCs w:val="26"/>
        </w:rPr>
        <w:t xml:space="preserve">18.3 ……………………… 3.</w:t>
      </w:r>
    </w:p>
    <w:p>
      <w:pPr>
        <w:spacing w:after="120" w:line="360"/>
      </w:pPr>
      <w:r>
        <w:rPr>
          <w:rFonts w:ascii="Times New Roman" w:cs="Times New Roman" w:eastAsia="Times New Roman" w:hAnsi="Times New Roman"/>
          <w:sz w:val="26"/>
          <w:szCs w:val="26"/>
        </w:rPr>
        <w:t xml:space="preserve">Dành cho người nộp thuế là các Công ty chứng khoán Người nộp thuế đã ký thỏa thuận trước về phương pháp xác định giá tính thuế (APA) Có □ Không □ Đơn vị tiền: Đồng Việt Nam STT Chỉ tiêu Giá trị giao dịch liên kết Giá trị giao dịch với các bên độc lập Tổng giá trị phát sinh từ hoạt động kinh doanh trong kỳ Giá trị xác định theo Hồ sơ xác định giá giao dịch liên kết Giá trị xác định giá theo APA (1) (2) (3) (4) (5) (6)=(3)+(4)+(5) 1 Doanh thu hoạt động (1)=(1.1)+(1.2)+(1.3)+(1.4)+(1.5)+(1.6)+(1.7)+(1.8)+(1.9)+ (1.10)+(1.11) 1.1 Lãi từ các tài sản tài chính ghi nhận thông qua lãi/lỗ (FVTPL) (1.1)=(1.1.a)+(1.1.b)+(1.1.c) 1.1.a Lãi bán các tài sản tài chính FVTPL 1.1.b Chênh lệch tăng về đánh giá lại các TSTC FVTPL 1.1.c Cổ tức, tiền lãi phát sinh từ tài sản tài chính FVTPL 1.2 Lãi từ các khoản đầu tư nắm giữ đến ngày đáo hạn (HTM) 1.3 Lãi từ các khoản cho vay và phải thu 1.4 Lãi từ tài sản tài chính sẵn sàng để bán (AFS) 1.5 Lãi từ các công cụ phái sinh phòng ngừa rủi ro 1.6 Doanh thu nghiệp vụ môi giới chứng khoán 1.7 Doanh thu nghiệp vụ bảo lãnh, đại lý phát hành chứng khoán 1.8 Doanh thu nghiệp vụ tư vấn đầu tư chứng khoán 1.9 Doanh thu nghiệp vụ lưu ký chứng khoán 1.10 Doanh thu hoạt động tư vấn tài chính 1.11 Thu nhập hoạt động khác 2 Chi phí hoạt động (2)=(2.1)+(2.2)+(2.3)+(2.4)+(2.5)+(2.6)+(2.7)+(2.8)+(2.9)+ (2.10)+(2.11)+(2.12) 2.1 Lỗ các tài sản tài chính ghi nhận thông qua lãi/lỗ (FVTPL) (2.1)=(2.1.a)+(2.1.b)+(2.1.c) 2.1.a Lỗ bán các tài sản tài chính FVTPL 2.1.b Chênh lệch giảm đánh giá lại các TSTC FVTPL 2.1.c Chi phí giao dịch mua các tài sản tài chính FVTPL 2.2 Lỗ các khoản đầu tư nắm giữ đến ngày đáo hạn (HTM) 2.3 Lỗ và ghi nhận chênh lệch đánh giá theo giá trị hợp lý tài sản tài chính sẵn sàng để bán (AFS) khi phân loại lại 2.4 Chi phí dự phòng tài sản tài chính, xử lý tổn thất các khoản phải thu khó đòi và lỗ suy giảm tài sản tài chính và chi phí đi vay của các khoản cho vay 2.5 Lỗ từ các tài sản tài chính phái sinh phòng ngừa rủi ro 2.6 Chi phí hoạt động tự doanh 2.7 Chi phí nghiệp vụ môi giới chứng khoán 2.8 Chi phí nghiệp vụ bảo lãnh, đại lý phát hành chứng khoán 2.9 Chi phí nghiệp vụ tư vấn đầu tư chứng khoán 2.10 Chi phí nghiệp vụ lưu ký chứng khoán 2.11 Chi phí hoạt động tư vấn tài chính 2.12 Chi phí các dịch vụ khác 3 Doanh thu hoạt động tài chính (3)=(3.1)+(3.2)+(3.3)+(3.4) 3.1 Chênh lệch lãi tỷ giá hối đoái đã và chưa thực hiện 3.2 Doanh thu, dự thu cổ tức, lãi tiền gửi ngân hàng không cố định 3.3 Lãi bán, thanh lý các khoản đầu tư vào công ty con, liên kết, liên doanh 3.4 Doanh thu khác về đầu tư 4 Chi phí tài chính (4)=(4.1)+(4.2)+(4.3)+(4.4)+(4.5) 4.1 Chênh lệch lỗ tỷ giá hối đoái đã và chưa thực hiện 4.2 Chi phí lãi vay 4.3 Lỗ bán, thanh lý các khoản đần tư vào công ty con, liên kết, liên doanh 4.4 Chi phí dự phòng suy giảm giá trị các khoản đầu tư tài chính dài hạn 4.5 Chi phí tài chính khác 5 Chi phí bán hàng 6 Chi phí quản lý công ty chứng khoán 7 Kết quả hoạt động (7)=(1)-(2)+(3)-(4)-(5)-(6) 8 Tổng lãi tiền gửi và lãi cho vay phát sinh trong kỳ 9 Tổng chi phí lãi vay phát sinh trong kỳ 9.1 Chi phí lãi vay được trừ trong kỳ 9.2 Phần chi phí lãi vay trong kỳ không được trừ chuyển sang kỳ sau theo quy định tại điểm b khoản 3 Điều 16 10 Chi phí khấu hao phát sinh trong kỳ 11 Tổng lợi nhuận thuần từ hoạt động kinh doanh trong kỳ cộng chi phí lãi vay sau khi trừ lãi tiền gửi và lãi cho vay phát sinh trong kỳ cộng chi phí khấu hao phát sinh trong kỳ [(11)=(7)+(9)-(8)+(10)] 12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(12)=[(9)-(8)]/(11) 13 Chi phí lãi vay của các kỳ trước chuyển sang (13)=(13.1)+(13.2)+(13.3)+(13.4)+(13.5) Trong đó: 13.1 - Phần chi phí lãi vay không được trừ từ năm (n-1) chuyển sang kỳ tính thuế (n) 13.2 - Phần chi phí lãi vay không được trừ từ năm (n-2) chuyển sang kỳ tính thuế (n) 13.3 - Phần chi phí lãi vay không được trừ từ năm (n-3) chuyển sang kỳ tính thuế (n) 13.4 - Phần chi phí lãi vay không được trừ từ năm (n-4) chuyển sang kỳ tính thuế (n) 13.5 - Phần chi phí lãi vay không được trừ từ năm (n-5) chuyển sang kỳ tính thuế (n) 14 Tỷ lệ chi phí lãi vay sau khi trừ lãi tiền gửi và lãi cho vay phát sinh được trừ trong kỳ cộng chi phí lãi vay của các kỳ trước chuyển sang kỳ tính thuế (n) trên tổng lợi nhuận thuần từ hoạt động kinh doanh cộng chi phí lãi vay thuần phát sinh trong kỳ cộng chi phí khấu hao phát sinh trong kỳ của người nộp thuế (14) = [(9)-(8)+(13))/(11) 15 Tỷ suất lợi nhuận sử dụng xác định giá giao dịch liên kết 15.1 Tỷ suất …………………………… 15.2 Tỷ suất …………………………… 15.3 ……………………………………..</w:t>
      </w:r>
    </w:p>
    <w:p>
      <w:pPr>
        <w:spacing w:after="120" w:line="360"/>
      </w:pPr>
      <w:r>
        <w:rPr>
          <w:rFonts w:ascii="Times New Roman" w:cs="Times New Roman" w:eastAsia="Times New Roman" w:hAnsi="Times New Roman"/>
          <w:sz w:val="26"/>
          <w:szCs w:val="26"/>
        </w:rPr>
        <w:t xml:space="preserve">Tôi cam đoan số liệu khai trên là đúng và chịu trách nhiệm trước pháp luật về số liệu đã khai.</w:t>
      </w:r>
    </w:p>
    <w:p>
      <w:pPr>
        <w:spacing w:after="120" w:line="360"/>
      </w:pPr>
      <w:r>
        <w:rPr>
          <w:rFonts w:ascii="Times New Roman" w:cs="Times New Roman" w:eastAsia="Times New Roman" w:hAnsi="Times New Roman"/>
          <w:sz w:val="26"/>
          <w:szCs w:val="26"/>
        </w:rPr>
        <w:t xml:space="preserve">NHÂN VIÊN ĐẠI LÝ THUẾ Họ và tên: ……………………..</w:t>
      </w:r>
    </w:p>
    <w:p>
      <w:pPr>
        <w:spacing w:after="120" w:line="360"/>
      </w:pPr>
      <w:r>
        <w:rPr>
          <w:rFonts w:ascii="Times New Roman" w:cs="Times New Roman" w:eastAsia="Times New Roman" w:hAnsi="Times New Roman"/>
          <w:sz w:val="26"/>
          <w:szCs w:val="26"/>
        </w:rPr>
        <w:t xml:space="preserve">Chứng chỉ hành nghề số: …… ……….., ngày … tháng … 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HƯỚNG DẪN KÊ KHAI MỘT SỐ CHỈ TIÊU A.</w:t>
      </w:r>
    </w:p>
    <w:p>
      <w:pPr>
        <w:spacing w:after="120" w:line="360"/>
      </w:pPr>
      <w:r>
        <w:rPr>
          <w:rFonts w:ascii="Times New Roman" w:cs="Times New Roman" w:eastAsia="Times New Roman" w:hAnsi="Times New Roman"/>
          <w:sz w:val="26"/>
          <w:szCs w:val="26"/>
        </w:rPr>
        <w:t xml:space="preserve">Kỳ tính thuế: Ghi thông tin tương ứng với kỳ tính thuế của Tờ khai quyết toán thuế thu nhập doanh nghiệp.</w:t>
      </w:r>
    </w:p>
    <w:p>
      <w:pPr>
        <w:spacing w:after="120" w:line="360"/>
      </w:pPr>
      <w:r>
        <w:rPr>
          <w:rFonts w:ascii="Times New Roman" w:cs="Times New Roman" w:eastAsia="Times New Roman" w:hAnsi="Times New Roman"/>
          <w:sz w:val="26"/>
          <w:szCs w:val="26"/>
        </w:rPr>
        <w:t xml:space="preserve">Kỳ tính thuế xác định theo quy định tại Luật Thuế thu nhập doanh nghiệp.</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Thông tin chung của người nộp thuế: Từ chỉ tiêu [01] đến chỉ tiêu [10] ghi thông tin tương ứng với thông tin đã ghi tại Tờ khai quyết toán thuế thu nhập doanh nghiệp.</w:t>
      </w:r>
    </w:p>
    <w:p>
      <w:pPr>
        <w:spacing w:after="120" w:line="360"/>
      </w:pPr>
      <w:r>
        <w:rPr>
          <w:rFonts w:ascii="Times New Roman" w:cs="Times New Roman" w:eastAsia="Times New Roman" w:hAnsi="Times New Roman"/>
          <w:sz w:val="26"/>
          <w:szCs w:val="26"/>
        </w:rPr>
        <w:t xml:space="preserve">C.</w:t>
      </w:r>
    </w:p>
    <w:p>
      <w:pPr>
        <w:spacing w:after="120" w:line="360"/>
      </w:pPr>
      <w:r>
        <w:rPr>
          <w:rFonts w:ascii="Times New Roman" w:cs="Times New Roman" w:eastAsia="Times New Roman" w:hAnsi="Times New Roman"/>
          <w:sz w:val="26"/>
          <w:szCs w:val="26"/>
        </w:rPr>
        <w:t xml:space="preserve">Mục I.</w:t>
      </w:r>
    </w:p>
    <w:p>
      <w:pPr>
        <w:spacing w:after="120" w:line="360"/>
      </w:pPr>
      <w:r>
        <w:rPr>
          <w:rFonts w:ascii="Times New Roman" w:cs="Times New Roman" w:eastAsia="Times New Roman" w:hAnsi="Times New Roman"/>
          <w:sz w:val="26"/>
          <w:szCs w:val="26"/>
        </w:rPr>
        <w:t xml:space="preserve">Thông tin về các bên liên kết: - Cột (2): Ghi đầy đủ tên của từng bên liên kết: + Trường hợp bên liên kết tại Việt Nam là tổ chức thì ghi theo thông tin tại giấy phép đăng ký doanh nghiệp; là cá nhân thì ghi theo thông tin tại chứng minh nhân dân, thẻ căn cước công dân, hộ chiếu.</w:t>
      </w:r>
    </w:p>
    <w:p>
      <w:pPr>
        <w:spacing w:after="120" w:line="360"/>
      </w:pPr>
      <w:r>
        <w:rPr>
          <w:rFonts w:ascii="Times New Roman" w:cs="Times New Roman" w:eastAsia="Times New Roman" w:hAnsi="Times New Roman"/>
          <w:sz w:val="26"/>
          <w:szCs w:val="26"/>
        </w:rPr>
        <w:t xml:space="preserve">+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pPr>
        <w:spacing w:after="120" w:line="360"/>
      </w:pPr>
      <w:r>
        <w:rPr>
          <w:rFonts w:ascii="Times New Roman" w:cs="Times New Roman" w:eastAsia="Times New Roman" w:hAnsi="Times New Roman"/>
          <w:sz w:val="26"/>
          <w:szCs w:val="26"/>
        </w:rPr>
        <w:t xml:space="preserve">- Cột (3): Ghi tên quốc gia, vùng lãnh thổ nơi bên liên kết là đối tượng cư trú.</w:t>
      </w:r>
    </w:p>
    <w:p>
      <w:pPr>
        <w:spacing w:after="120" w:line="360"/>
      </w:pPr>
      <w:r>
        <w:rPr>
          <w:rFonts w:ascii="Times New Roman" w:cs="Times New Roman" w:eastAsia="Times New Roman" w:hAnsi="Times New Roman"/>
          <w:sz w:val="26"/>
          <w:szCs w:val="26"/>
        </w:rPr>
        <w:t xml:space="preserve">- Cột (4): Ghi mã số thuế của các bên liên kết: + Trường hợp bên liên kết là tổ chức, cá nhân tại Việt Nam thì ghi đủ mã số thuế.</w:t>
      </w:r>
    </w:p>
    <w:p>
      <w:pPr>
        <w:spacing w:after="120" w:line="360"/>
      </w:pPr>
      <w:r>
        <w:rPr>
          <w:rFonts w:ascii="Times New Roman" w:cs="Times New Roman" w:eastAsia="Times New Roman" w:hAnsi="Times New Roman"/>
          <w:sz w:val="26"/>
          <w:szCs w:val="26"/>
        </w:rPr>
        <w:t xml:space="preserve">+ Trường hợp bên liên kết là tổ chức, cá nhân ngoài Việt Nam thì ghi đủ mã số thuế, mã định danh người nộp thuế, nếu không có thì ghi rõ lý do.</w:t>
      </w:r>
    </w:p>
    <w:p>
      <w:pPr>
        <w:spacing w:after="120" w:line="360"/>
      </w:pPr>
      <w:r>
        <w:rPr>
          <w:rFonts w:ascii="Times New Roman" w:cs="Times New Roman" w:eastAsia="Times New Roman" w:hAnsi="Times New Roman"/>
          <w:sz w:val="26"/>
          <w:szCs w:val="26"/>
        </w:rPr>
        <w:t xml:space="preserve">- Cột (5): Căn cứ quy định tại khoản 2 Điều 5 Nghị định số 132/2020/NĐ-CP và Điều 1 Nghị định số 20/2025/NĐ-CP, người nộp thuế phát sinh giao dịch liên kết kê khai hình thức quan hệ liên kết tương ứng với từng bên liên kết bằng cách đánh dấu “x” vào ô tương ứng.</w:t>
      </w:r>
    </w:p>
    <w:p>
      <w:pPr>
        <w:spacing w:after="120" w:line="360"/>
      </w:pPr>
      <w:r>
        <w:rPr>
          <w:rFonts w:ascii="Times New Roman" w:cs="Times New Roman" w:eastAsia="Times New Roman" w:hAnsi="Times New Roman"/>
          <w:sz w:val="26"/>
          <w:szCs w:val="26"/>
        </w:rPr>
        <w:t xml:space="preserve">Trường hợp bên liên kết thuộc nhiều hơn một hình thức quan hệ liên kết, người nộp thuế đánh dấu “x” vào các ô tương ứng.</w:t>
      </w:r>
    </w:p>
    <w:p>
      <w:pPr>
        <w:spacing w:after="120" w:line="360"/>
      </w:pPr>
      <w:r>
        <w:rPr>
          <w:rFonts w:ascii="Times New Roman" w:cs="Times New Roman" w:eastAsia="Times New Roman" w:hAnsi="Times New Roman"/>
          <w:sz w:val="26"/>
          <w:szCs w:val="26"/>
        </w:rPr>
        <w:t xml:space="preserve">D.</w:t>
      </w:r>
    </w:p>
    <w:p>
      <w:pPr>
        <w:spacing w:after="120" w:line="360"/>
      </w:pPr>
      <w:r>
        <w:rPr>
          <w:rFonts w:ascii="Times New Roman" w:cs="Times New Roman" w:eastAsia="Times New Roman" w:hAnsi="Times New Roman"/>
          <w:sz w:val="26"/>
          <w:szCs w:val="26"/>
        </w:rPr>
        <w:t xml:space="preserve">Mục II.</w:t>
      </w:r>
    </w:p>
    <w:p>
      <w:pPr>
        <w:spacing w:after="120" w:line="360"/>
      </w:pPr>
      <w:r>
        <w:rPr>
          <w:rFonts w:ascii="Times New Roman" w:cs="Times New Roman" w:eastAsia="Times New Roman" w:hAnsi="Times New Roman"/>
          <w:sz w:val="26"/>
          <w:szCs w:val="26"/>
        </w:rPr>
        <w:t xml:space="preserve">Các trường hợp được miễn kê khai, miễn lập hồ sơ xác định giá giao dịch liên kết: Nếu người nộp thuế thuộc trường hợp được miễn kê khai, miễn lập Hồ sơ xác định giá giao dịch liên kết quy định tại Điều 19 Nghị định số 132/2020/NĐ-CP tại Cột (2) thì đánh dấu “x” vào ô thuộc diện miễn trừ tương ứng tại Cột (3).</w:t>
      </w:r>
    </w:p>
    <w:p>
      <w:pPr>
        <w:spacing w:after="120" w:line="360"/>
      </w:pPr>
      <w:r>
        <w:rPr>
          <w:rFonts w:ascii="Times New Roman" w:cs="Times New Roman" w:eastAsia="Times New Roman" w:hAnsi="Times New Roman"/>
          <w:sz w:val="26"/>
          <w:szCs w:val="26"/>
        </w:rPr>
        <w:t xml:space="preserve">Trường hợp người nộp thuế được miễn kê khai, miễn lập hồ sơ xác định giá giao dịch liên kết theo quy định tại khoản 1 Điều 19 Nghị định số 132/2020/NĐ-CP, người nộp thuế chỉ đánh dấu vào ô tương ứng tại Cột (3) và không phải kê khai các mục III và IV Phụ lục I kèm theo Nghị định số 20/2025/NĐ-CP.</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a hoặc điểm c khoản 2 Điều 19 Nghị định số 132/2020/NĐ-CP, người nộp thuế kê khai các mục III và IV theo hướng dẫn tương ứng tại các phần Đ.1 và E.</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b khoản 2 Điều 19 Nghị định số 132/2020/NĐ-CP, người nộp thuế kê khai theo hướng dẫn tương ứng tại các phần Đ.2 và E.</w:t>
      </w:r>
    </w:p>
    <w:p>
      <w:pPr>
        <w:spacing w:after="120" w:line="360"/>
      </w:pPr>
      <w:r>
        <w:rPr>
          <w:rFonts w:ascii="Times New Roman" w:cs="Times New Roman" w:eastAsia="Times New Roman" w:hAnsi="Times New Roman"/>
          <w:sz w:val="26"/>
          <w:szCs w:val="26"/>
        </w:rPr>
        <w:t xml:space="preserve">Đ.</w:t>
      </w:r>
    </w:p>
    <w:p>
      <w:pPr>
        <w:spacing w:after="120" w:line="360"/>
      </w:pPr>
      <w:r>
        <w:rPr>
          <w:rFonts w:ascii="Times New Roman" w:cs="Times New Roman" w:eastAsia="Times New Roman" w:hAnsi="Times New Roman"/>
          <w:sz w:val="26"/>
          <w:szCs w:val="26"/>
        </w:rPr>
        <w:t xml:space="preserve">Mục III.</w:t>
      </w:r>
    </w:p>
    <w:p>
      <w:pPr>
        <w:spacing w:after="120" w:line="360"/>
      </w:pPr>
      <w:r>
        <w:rPr>
          <w:rFonts w:ascii="Times New Roman" w:cs="Times New Roman" w:eastAsia="Times New Roman" w:hAnsi="Times New Roman"/>
          <w:sz w:val="26"/>
          <w:szCs w:val="26"/>
        </w:rPr>
        <w:t xml:space="preserve">Thông tin xác định giá giao dịch liên kết: Đ.1.</w:t>
      </w:r>
    </w:p>
    <w:p>
      <w:pPr>
        <w:spacing w:after="120" w:line="360"/>
      </w:pPr>
      <w:r>
        <w:rPr>
          <w:rFonts w:ascii="Times New Roman" w:cs="Times New Roman" w:eastAsia="Times New Roman" w:hAnsi="Times New Roman"/>
          <w:sz w:val="26"/>
          <w:szCs w:val="26"/>
        </w:rPr>
        <w:t xml:space="preserve">Trường hợp người nộp thuế được miễn lập Hồ sơ xác định giá giao dịch liên kết theo quy định tại điểm a hoặc điểm c khoản 2 Điều 19 Nghị định số 132/2020/NĐ-CP và đã kê khai đánh dấu (x) vào cột 3 tại dòng a hoặc dòng c chỉ tiêu miễn lập Hồ sơ xác định giá giao dịch liên kết của Mục II Phụ lục I kèm theo Nghị định số 20/2025/NĐ-CP thực hiện kê khai mục này như sau: - Cột (3), (7) và (12): Kê khai như hướng dẫn tại phần Đ.2 Phụ lục này.</w:t>
      </w:r>
    </w:p>
    <w:p>
      <w:pPr>
        <w:spacing w:after="120" w:line="360"/>
      </w:pPr>
      <w:r>
        <w:rPr>
          <w:rFonts w:ascii="Times New Roman" w:cs="Times New Roman" w:eastAsia="Times New Roman" w:hAnsi="Times New Roman"/>
          <w:sz w:val="26"/>
          <w:szCs w:val="26"/>
        </w:rPr>
        <w:t xml:space="preserve">- Cột (4), (5), 6), (8), (9), (10) và (11): Người nộp thuế để trống không kê khai.</w:t>
      </w:r>
    </w:p>
    <w:p>
      <w:pPr>
        <w:spacing w:after="120" w:line="360"/>
      </w:pPr>
      <w:r>
        <w:rPr>
          <w:rFonts w:ascii="Times New Roman" w:cs="Times New Roman" w:eastAsia="Times New Roman" w:hAnsi="Times New Roman"/>
          <w:sz w:val="26"/>
          <w:szCs w:val="26"/>
        </w:rPr>
        <w:t xml:space="preserve">Đối với trường hợp người nộp thuế được miễn lập Hồ sơ xác định giá giao dịch liên kết theo quy định tại điểm a khoản 2 Điều 19 Nghị định số 132/2020/NĐ-CP,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pPr>
        <w:spacing w:after="120" w:line="360"/>
      </w:pPr>
      <w:r>
        <w:rPr>
          <w:rFonts w:ascii="Times New Roman" w:cs="Times New Roman" w:eastAsia="Times New Roman" w:hAnsi="Times New Roman"/>
          <w:sz w:val="26"/>
          <w:szCs w:val="26"/>
        </w:rPr>
        <w:t xml:space="preserve">Đ.2.</w:t>
      </w:r>
    </w:p>
    <w:p>
      <w:pPr>
        <w:spacing w:after="120" w:line="360"/>
      </w:pPr>
      <w:r>
        <w:rPr>
          <w:rFonts w:ascii="Times New Roman" w:cs="Times New Roman" w:eastAsia="Times New Roman" w:hAnsi="Times New Roman"/>
          <w:sz w:val="26"/>
          <w:szCs w:val="26"/>
        </w:rPr>
        <w:t xml:space="preserve">Người nộp thuế không thuộc trường hợp được miễn lập Hồ sơ xác định giá giao dịch liên kết tại điểm a hoặc điểm c khoản 2 Điều 19 Nghị định số 132/2020/NĐ-CP kê khai như sau: - Chỉ tiêu “Tổng giá trị giao dịch phát sinh từ hoạt động kinh doanh”: + Cột (3): Ghi tổng giá trị doanh thu bán ra cho các bên liên kết và các bên độc lập, bao gồm: Doanh thu bán hàng và cung cấp dịch vụ, doanh thu hoạt động tài chính và thu nhập khác (không bao gồm các khoản thu hộ).</w:t>
      </w:r>
    </w:p>
    <w:p>
      <w:pPr>
        <w:spacing w:after="120" w:line="360"/>
      </w:pPr>
      <w:r>
        <w:rPr>
          <w:rFonts w:ascii="Times New Roman" w:cs="Times New Roman" w:eastAsia="Times New Roman" w:hAnsi="Times New Roman"/>
          <w:sz w:val="26"/>
          <w:szCs w:val="26"/>
        </w:rPr>
        <w:t xml:space="preserve">+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pPr>
        <w:spacing w:after="120" w:line="360"/>
      </w:pPr>
      <w:r>
        <w:rPr>
          <w:rFonts w:ascii="Times New Roman" w:cs="Times New Roman" w:eastAsia="Times New Roman" w:hAnsi="Times New Roman"/>
          <w:sz w:val="26"/>
          <w:szCs w:val="26"/>
        </w:rPr>
        <w:t xml:space="preserve">+ Cột (4), (5), (6), (8), (9), (10), (11), (12) và (13): Để trống không phải kê khai.</w:t>
      </w:r>
    </w:p>
    <w:p>
      <w:pPr>
        <w:spacing w:after="120" w:line="360"/>
      </w:pPr>
      <w:r>
        <w:rPr>
          <w:rFonts w:ascii="Times New Roman" w:cs="Times New Roman" w:eastAsia="Times New Roman" w:hAnsi="Times New Roman"/>
          <w:sz w:val="26"/>
          <w:szCs w:val="26"/>
        </w:rPr>
        <w:t xml:space="preserve">- Chỉ tiêu “Tổng giá trị giao dịch phát sinh từ hoạt động liên kết”: + Cột (3), (4), (7) và (8): Ghi tổng giá trị tại các ô tương ứng với từng chỉ tiêu Hàng hóa cộng (+) Dịch vụ.</w:t>
      </w:r>
    </w:p>
    <w:p>
      <w:pPr>
        <w:spacing w:after="120" w:line="360"/>
      </w:pPr>
      <w:r>
        <w:rPr>
          <w:rFonts w:ascii="Times New Roman" w:cs="Times New Roman" w:eastAsia="Times New Roman" w:hAnsi="Times New Roman"/>
          <w:sz w:val="26"/>
          <w:szCs w:val="26"/>
        </w:rPr>
        <w:t xml:space="preserve">- Chỉ tiêu “Hàng hóa”: + Cột (3), (4), (7) và (8): Ghi tổng giá trị tại các ô tương ứng với các chỉ tiêu Hàng hóa hình thành tài sản cố định cộng (+) Hàng hóa không hình thành tài sản cố định.</w:t>
      </w:r>
    </w:p>
    <w:p>
      <w:pPr>
        <w:spacing w:after="120" w:line="360"/>
      </w:pPr>
      <w:r>
        <w:rPr>
          <w:rFonts w:ascii="Times New Roman" w:cs="Times New Roman" w:eastAsia="Times New Roman" w:hAnsi="Times New Roman"/>
          <w:sz w:val="26"/>
          <w:szCs w:val="26"/>
        </w:rPr>
        <w:t xml:space="preserve">- Chỉ tiêu “Hàng hóa hình thành tài sản cố định” và các dòng chi tiết “Bên liên kết A”, “Bên liên kết B”,....: + Cột (3) và (7): Ghi tổng giá trị phát sinh từ mua hoặc bán tài sản cố định của người nộp thuế với các bên liên kết theo giá trị tại sổ kế toán.</w:t>
      </w:r>
    </w:p>
    <w:p>
      <w:pPr>
        <w:spacing w:after="120" w:line="360"/>
      </w:pPr>
      <w:r>
        <w:rPr>
          <w:rFonts w:ascii="Times New Roman" w:cs="Times New Roman" w:eastAsia="Times New Roman" w:hAnsi="Times New Roman"/>
          <w:sz w:val="26"/>
          <w:szCs w:val="26"/>
        </w:rPr>
        <w:t xml:space="preserve">+ Cột (4) và (8): Ghi tổng giá trị phát sinh từ mua hoặc bán tài sản cố định với các bên liên kết được xác định theo phương pháp xác định giá giao dịch liên kết tương ứng tại Cột (6) và (10).</w:t>
      </w:r>
    </w:p>
    <w:p>
      <w:pPr>
        <w:spacing w:after="120" w:line="360"/>
      </w:pPr>
      <w:r>
        <w:rPr>
          <w:rFonts w:ascii="Times New Roman" w:cs="Times New Roman" w:eastAsia="Times New Roman" w:hAnsi="Times New Roman"/>
          <w:sz w:val="26"/>
          <w:szCs w:val="26"/>
        </w:rPr>
        <w:t xml:space="preserve">- Chỉ tiêu “Hàng hóa không hình thành tài sản cố định” và các dòng chi tiết “Bên liên kết A”, “Bên liên kết B”,....: + Cột (3) và (7): Ghi tổng giá trị phát sinh từ mua hoặc bán hàng hoá không phải là tài sản cố định của người nộp thuế với các bên liên kết theo giá trị tại sổ kế toán.</w:t>
      </w:r>
    </w:p>
    <w:p>
      <w:pPr>
        <w:spacing w:after="120" w:line="360"/>
      </w:pPr>
      <w:r>
        <w:rPr>
          <w:rFonts w:ascii="Times New Roman" w:cs="Times New Roman" w:eastAsia="Times New Roman" w:hAnsi="Times New Roman"/>
          <w:sz w:val="26"/>
          <w:szCs w:val="26"/>
        </w:rPr>
        <w:t xml:space="preserve">+ Cột (4) và (8): Ghi tổng giá trị phát sinh từ mua hoặc bán hàng hoá không phải là tài sản cố định của người nộp thuế với các bên liên kết được xác định theo phương pháp xác định giá giao dịch liên kết tương ứng tại Cột (6) và (10).</w:t>
      </w:r>
    </w:p>
    <w:p>
      <w:pPr>
        <w:spacing w:after="120" w:line="360"/>
      </w:pPr>
      <w:r>
        <w:rPr>
          <w:rFonts w:ascii="Times New Roman" w:cs="Times New Roman" w:eastAsia="Times New Roman" w:hAnsi="Times New Roman"/>
          <w:sz w:val="26"/>
          <w:szCs w:val="26"/>
        </w:rPr>
        <w:t xml:space="preserve">- Chỉ tiêu “Dịch vụ”: +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pPr>
        <w:spacing w:after="120" w:line="360"/>
      </w:pPr>
      <w:r>
        <w:rPr>
          <w:rFonts w:ascii="Times New Roman" w:cs="Times New Roman" w:eastAsia="Times New Roman" w:hAnsi="Times New Roman"/>
          <w:sz w:val="26"/>
          <w:szCs w:val="26"/>
        </w:rPr>
        <w:t xml:space="preserve">- Các chỉ tiêu “Nghiên cứu, phát triển”; “Quảng cáo, tiếp thị”; “Quản lý kinh doanh và tư vấn, đào tạo”; “Hoạt động tài chính và Dịch vụ khác”, và chi tiết theo từng “Bên liên kết A”, “Bên liên kết B”,...: + Cột (3) và (7): Ghi tổng giá trị từng loại dịch vụ phát sinh từ giao dịch với các bên liên kết được ghi nhận theo giá trị ghi tại sổ kế toán.</w:t>
      </w:r>
    </w:p>
    <w:p>
      <w:pPr>
        <w:spacing w:after="120" w:line="360"/>
      </w:pPr>
      <w:r>
        <w:rPr>
          <w:rFonts w:ascii="Times New Roman" w:cs="Times New Roman" w:eastAsia="Times New Roman" w:hAnsi="Times New Roman"/>
          <w:sz w:val="26"/>
          <w:szCs w:val="26"/>
        </w:rPr>
        <w:t xml:space="preserve">+ Cột (4) và (8): Ghi tổng giá trị từng loại dịch vụ phát sinh từ giao dịch với các bên liên kết được xác định theo phương pháp xác định giá giao dịch liên kết tương ứng tại Cột (6) và Cột (10).</w:t>
      </w:r>
    </w:p>
    <w:p>
      <w:pPr>
        <w:spacing w:after="120" w:line="360"/>
      </w:pPr>
      <w:r>
        <w:rPr>
          <w:rFonts w:ascii="Times New Roman" w:cs="Times New Roman" w:eastAsia="Times New Roman" w:hAnsi="Times New Roman"/>
          <w:sz w:val="26"/>
          <w:szCs w:val="26"/>
        </w:rPr>
        <w:t xml:space="preserve">- Cột (6) và (10): Ghi tương ứng với từng chỉ tiêu theo từng bên liên kết ký hiệu viết tắt tên phương pháp xác định giá giao dịch liên kết theo quy định tại Điều 13, Điều 14, Điều 15 Nghị định số 132/2020/NĐ-CP cấu thành giá trị bán ra cho bên liên kết và giá trị mua vào từ bên liên kết của người nộp thuế xác định theo Hồ sơ xác định giá giao dịch liên kết, cụ thể như sau: + PP1: Phương pháp so sánh giá giao dịch liên kết với giá giao dịch độc lập (phương pháp so sánh giá giao dịch độc lập).</w:t>
      </w:r>
    </w:p>
    <w:p>
      <w:pPr>
        <w:spacing w:after="120" w:line="360"/>
      </w:pPr>
      <w:r>
        <w:rPr>
          <w:rFonts w:ascii="Times New Roman" w:cs="Times New Roman" w:eastAsia="Times New Roman" w:hAnsi="Times New Roman"/>
          <w:sz w:val="26"/>
          <w:szCs w:val="26"/>
        </w:rPr>
        <w:t xml:space="preserve">+ PP2: Phương pháp so sánh tỷ suất lợi nhuận của người nộp thuế với tỷ suất lợi nhuận của các đối tượng so sánh độc lập.</w:t>
      </w:r>
    </w:p>
    <w:p>
      <w:pPr>
        <w:spacing w:after="120" w:line="360"/>
      </w:pPr>
      <w:r>
        <w:rPr>
          <w:rFonts w:ascii="Times New Roman" w:cs="Times New Roman" w:eastAsia="Times New Roman" w:hAnsi="Times New Roman"/>
          <w:sz w:val="26"/>
          <w:szCs w:val="26"/>
        </w:rPr>
        <w:t xml:space="preserve">PP2-1: Phương pháp so sánh tỷ suất lợi gộp trên doanh thu (phương pháp giá bán lại).</w:t>
      </w:r>
    </w:p>
    <w:p>
      <w:pPr>
        <w:spacing w:after="120" w:line="360"/>
      </w:pPr>
      <w:r>
        <w:rPr>
          <w:rFonts w:ascii="Times New Roman" w:cs="Times New Roman" w:eastAsia="Times New Roman" w:hAnsi="Times New Roman"/>
          <w:sz w:val="26"/>
          <w:szCs w:val="26"/>
        </w:rPr>
        <w:t xml:space="preserve">PP2-2: Phương pháp so sánh tỷ suất lợi gộp trên giá vốn (phương pháp giá vốn cộng lãi).</w:t>
      </w:r>
    </w:p>
    <w:p>
      <w:pPr>
        <w:spacing w:after="120" w:line="360"/>
      </w:pPr>
      <w:r>
        <w:rPr>
          <w:rFonts w:ascii="Times New Roman" w:cs="Times New Roman" w:eastAsia="Times New Roman" w:hAnsi="Times New Roman"/>
          <w:sz w:val="26"/>
          <w:szCs w:val="26"/>
        </w:rPr>
        <w:t xml:space="preserve">PP2-3: Phương pháp so sánh tỷ suất lợi nhuận thuần.</w:t>
      </w:r>
    </w:p>
    <w:p>
      <w:pPr>
        <w:spacing w:after="120" w:line="360"/>
      </w:pPr>
      <w:r>
        <w:rPr>
          <w:rFonts w:ascii="Times New Roman" w:cs="Times New Roman" w:eastAsia="Times New Roman" w:hAnsi="Times New Roman"/>
          <w:sz w:val="26"/>
          <w:szCs w:val="26"/>
        </w:rPr>
        <w:t xml:space="preserve">+ PP3: Phương pháp phân bổ lợi nhuận giữa các bên liên kết.</w:t>
      </w:r>
    </w:p>
    <w:p>
      <w:pPr>
        <w:spacing w:after="120" w:line="360"/>
      </w:pPr>
      <w:r>
        <w:rPr>
          <w:rFonts w:ascii="Times New Roman" w:cs="Times New Roman" w:eastAsia="Times New Roman" w:hAnsi="Times New Roman"/>
          <w:sz w:val="26"/>
          <w:szCs w:val="26"/>
        </w:rPr>
        <w:t xml:space="preserve">Ví dụ: + Mua máy móc từ bên liên kết A trên cơ sở phương pháp so sánh giá giao dịch độc lập, tại dòng chỉ tiêu Hàng hóa hình thành tài sản cố định từ bên liên kết A Cột (10): Ghi PP1.</w:t>
      </w:r>
    </w:p>
    <w:p>
      <w:pPr>
        <w:spacing w:after="120" w:line="360"/>
      </w:pPr>
      <w:r>
        <w:rPr>
          <w:rFonts w:ascii="Times New Roman" w:cs="Times New Roman" w:eastAsia="Times New Roman" w:hAnsi="Times New Roman"/>
          <w:sz w:val="26"/>
          <w:szCs w:val="26"/>
        </w:rPr>
        <w:t xml:space="preserve">+ Thu phí dịch vụ quản lý cung cấp cho bên liên kết B trên cơ sở phương pháp giá vốn cộng lãi, tại dòng chỉ tiêu Quản lý kinh doanh và tư vấn, đào tạo cho bên liên kết B Cột (6): Ghi PP2-2.</w:t>
      </w:r>
    </w:p>
    <w:p>
      <w:pPr>
        <w:spacing w:after="120" w:line="360"/>
      </w:pPr>
      <w:r>
        <w:rPr>
          <w:rFonts w:ascii="Times New Roman" w:cs="Times New Roman" w:eastAsia="Times New Roman" w:hAnsi="Times New Roman"/>
          <w:sz w:val="26"/>
          <w:szCs w:val="26"/>
        </w:rPr>
        <w:t xml:space="preserve">- Cột (5) và (9):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Cột (11): Ghi lợi nhuận tăng do xác định lại theo giá giao dịch độc lập.</w:t>
      </w:r>
    </w:p>
    <w:p>
      <w:pPr>
        <w:spacing w:after="120" w:line="360"/>
      </w:pPr>
      <w:r>
        <w:rPr>
          <w:rFonts w:ascii="Times New Roman" w:cs="Times New Roman" w:eastAsia="Times New Roman" w:hAnsi="Times New Roman"/>
          <w:sz w:val="26"/>
          <w:szCs w:val="26"/>
        </w:rPr>
        <w:t xml:space="preserve">- Cột (12): Ghi lần lượt tổng giá trị thu hộ, tổng giá trị chi hộ, tổng giá trị doanh thu phân bổ cho cơ sở thường trú, tổng giá trị chi phí phân bổ cho cơ sở thường trú phát sinh trong kỳ tính thuế.</w:t>
      </w:r>
    </w:p>
    <w:p>
      <w:pPr>
        <w:spacing w:after="120" w:line="360"/>
      </w:pPr>
      <w:r>
        <w:rPr>
          <w:rFonts w:ascii="Times New Roman" w:cs="Times New Roman" w:eastAsia="Times New Roman" w:hAnsi="Times New Roman"/>
          <w:sz w:val="26"/>
          <w:szCs w:val="26"/>
        </w:rPr>
        <w:t xml:space="preserve">- Cột (13): Ghi theo hướng dẫn tại Phụ lục I ban hành kèm theo Nghị định số 20/2025/NĐ-CP tương ứng với từng giao dịch thuộc phạm vi áp dụng APA và để trống các ô tương ứng với các dòng chỉ tiêu ghi số liệu tổng giá trị.</w:t>
      </w:r>
    </w:p>
    <w:p>
      <w:pPr>
        <w:spacing w:after="120" w:line="360"/>
      </w:pPr>
      <w:r>
        <w:rPr>
          <w:rFonts w:ascii="Times New Roman" w:cs="Times New Roman" w:eastAsia="Times New Roman" w:hAnsi="Times New Roman"/>
          <w:sz w:val="26"/>
          <w:szCs w:val="26"/>
        </w:rPr>
        <w:t xml:space="preserve">E.</w:t>
      </w:r>
    </w:p>
    <w:p>
      <w:pPr>
        <w:spacing w:after="120" w:line="360"/>
      </w:pPr>
      <w:r>
        <w:rPr>
          <w:rFonts w:ascii="Times New Roman" w:cs="Times New Roman" w:eastAsia="Times New Roman" w:hAnsi="Times New Roman"/>
          <w:sz w:val="26"/>
          <w:szCs w:val="26"/>
        </w:rPr>
        <w:t xml:space="preserve">Mục IV.</w:t>
      </w:r>
    </w:p>
    <w:p>
      <w:pPr>
        <w:spacing w:after="120" w:line="360"/>
      </w:pPr>
      <w:r>
        <w:rPr>
          <w:rFonts w:ascii="Times New Roman" w:cs="Times New Roman" w:eastAsia="Times New Roman" w:hAnsi="Times New Roman"/>
          <w:sz w:val="26"/>
          <w:szCs w:val="26"/>
        </w:rPr>
        <w:t xml:space="preserve">Kết quả sản xuất kinh doanh sau khi xác định giá giao dịch liên kết: - Chỉ tiêu “Người nộp thuế đã ký thỏa thuận trước về phương pháp xác định giá tính thuế (APA)”: Người nộp thuế đánh dấu “x” vào “Có” nếu đã ký APA đơn phương, song phương hoặc đa phương với Cơ quan thuế Việt Nam.</w:t>
      </w:r>
    </w:p>
    <w:p>
      <w:pPr>
        <w:spacing w:after="120" w:line="360"/>
      </w:pPr>
      <w:r>
        <w:rPr>
          <w:rFonts w:ascii="Times New Roman" w:cs="Times New Roman" w:eastAsia="Times New Roman" w:hAnsi="Times New Roman"/>
          <w:sz w:val="26"/>
          <w:szCs w:val="26"/>
        </w:rPr>
        <w:t xml:space="preserve">Trường hợp người nộp thuế không ký APA với Cơ quan thuế thì đánh dấu “x” vào “Không” và để trống không kê khai các chỉ tiêu tại Cột (4) bảng kết quả sản xuất kinh doanh tại mục này.</w:t>
      </w:r>
    </w:p>
    <w:p>
      <w:pPr>
        <w:spacing w:after="120" w:line="360"/>
      </w:pPr>
      <w:r>
        <w:rPr>
          <w:rFonts w:ascii="Times New Roman" w:cs="Times New Roman" w:eastAsia="Times New Roman" w:hAnsi="Times New Roman"/>
          <w:sz w:val="26"/>
          <w:szCs w:val="26"/>
        </w:rPr>
        <w:t xml:space="preserve">-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Dành cho người nộp thuế thuộc các ngành sản xuất, thương mại, dịch vụ: a) Trường hợp người nộp thuế đã kê khai đánh dấu (x) vào Cột 3 tại dòng 2a miễn lập Hồ sơ xác định giá giao dịch liên kết của Mục II Phụ lục I kèm theo Nghị định số 20/2025/NĐ-CP, thực hiện kê khai theo hướng dẫn như sau: - Các chỉ tiêu tại dòng (1), (2), (3), (4), (5), (6), (7), (8), (8.1), (9), (9.1), (9.1.a), (9.1.b), (10), (11) và (12):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Các chỉ tiêu tại dòng (13), (14), (15), (15.1), (15.2), (15.3), (15.4), (15.5) và (16) xác định và tính toán theo quy định tại điểm a, điểm b khoản 3 Điều 16 Nghị định số 132/2020/NĐ-CP.</w:t>
      </w:r>
    </w:p>
    <w:p>
      <w:pPr>
        <w:spacing w:after="120" w:line="360"/>
      </w:pPr>
      <w:r>
        <w:rPr>
          <w:rFonts w:ascii="Times New Roman" w:cs="Times New Roman" w:eastAsia="Times New Roman" w:hAnsi="Times New Roman"/>
          <w:sz w:val="26"/>
          <w:szCs w:val="26"/>
        </w:rPr>
        <w:t xml:space="preserve">- Chỉ tiêu tại dòng (17): Người nộp thuế để trống không kê khai.</w:t>
      </w:r>
    </w:p>
    <w:p>
      <w:pPr>
        <w:spacing w:after="120" w:line="360"/>
      </w:pPr>
      <w:r>
        <w:rPr>
          <w:rFonts w:ascii="Times New Roman" w:cs="Times New Roman" w:eastAsia="Times New Roman" w:hAnsi="Times New Roman"/>
          <w:sz w:val="26"/>
          <w:szCs w:val="26"/>
        </w:rPr>
        <w:t xml:space="preserve">b) Trường hợp người nộp thuế đã kê khai đánh dấu (x) vào Cột 3 tại dòng 2c miễn lập Hồ sơ xác định giá giao dịch liên kết của Mục II Phụ lục I kèm theo Nghị định số 20/2025/NĐ-CP, thực hiện kê khai theo hướng dẫn như sau: - Các chỉ tiêu tại dòng (1), (2), (3), (4), (5), (6), (7), (8), (8.1), (9), (9.1), (9.1.a), (9.1.b), (10), (11) và (12):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Các chỉ tiêu tại dòng (13), (14), (15), (15.1), (15.2), (15.3), (15.4), (15.5) và (16) xác định và tính toán theo quy định tại điểm a, điểm b khoản 3 Điều 16 Nghị định số 132/2020/NĐ-CP.</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132/2020/NĐ-CP.</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132/2020/NĐ-CP.</w:t>
      </w:r>
    </w:p>
    <w:p>
      <w:pPr>
        <w:spacing w:after="120" w:line="360"/>
      </w:pPr>
      <w:r>
        <w:rPr>
          <w:rFonts w:ascii="Times New Roman" w:cs="Times New Roman" w:eastAsia="Times New Roman" w:hAnsi="Times New Roman"/>
          <w:sz w:val="26"/>
          <w:szCs w:val="26"/>
        </w:rPr>
        <w:t xml:space="preserve">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pPr>
        <w:spacing w:after="120" w:line="360"/>
      </w:pPr>
      <w:r>
        <w:rPr>
          <w:rFonts w:ascii="Times New Roman" w:cs="Times New Roman" w:eastAsia="Times New Roman" w:hAnsi="Times New Roman"/>
          <w:sz w:val="26"/>
          <w:szCs w:val="26"/>
        </w:rPr>
        <w:t xml:space="preserve">Trường hợp người nộp thuế thực hiện kinh doanh nhiều hơn một lĩnh vực không theo dõi, hạch toán riêng được doanh thu và chi phí của từng lĩnh vực thực hiện kê khai theo lĩnh vực có tỷ suất cao nhất.</w:t>
      </w:r>
    </w:p>
    <w:p>
      <w:pPr>
        <w:spacing w:after="120" w:line="360"/>
      </w:pPr>
      <w:r>
        <w:rPr>
          <w:rFonts w:ascii="Times New Roman" w:cs="Times New Roman" w:eastAsia="Times New Roman" w:hAnsi="Times New Roman"/>
          <w:sz w:val="26"/>
          <w:szCs w:val="26"/>
        </w:rPr>
        <w:t xml:space="preserve">c) Trường hợp người nộp thuế không được miễn lập Hồ sơ xác định giá giao dịch liên kết theo quy định tại điểm a hoặc điểm c khoản 2 Điều 19 Nghị định số 132/2020/NĐ-CP, kê khai như sau: - Chỉ tiêu “Doanh thu bán hàng và cung cấp dịch vụ”: + Cột (3) và (4): Ghi tổng giá trị của các giao dịch cung cấp hàng hóa, dịch vụ cho các bên liên kết xác định giá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Ghi tổng giá trị của các giao dịch cung cấp hàng hóa, dịch vụ cho các bên độc lập theo giá trị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Các chỉ tiêu “Doanh thu bán hàng hoá, dịch vụ xuất khẩu” và “Các khoản giảm trừ doanh thu”: Người nộp thuế kê khai tương ứng doanh thu bán hàng hoá và cung cấp dịch vụ và ghi theo hướng dẫn tương tự tại chỉ tiêu “Doanh thu bán hàng và cung cấp dịch vụ”.</w:t>
      </w:r>
    </w:p>
    <w:p>
      <w:pPr>
        <w:spacing w:after="120" w:line="360"/>
      </w:pPr>
      <w:r>
        <w:rPr>
          <w:rFonts w:ascii="Times New Roman" w:cs="Times New Roman" w:eastAsia="Times New Roman" w:hAnsi="Times New Roman"/>
          <w:sz w:val="26"/>
          <w:szCs w:val="26"/>
        </w:rPr>
        <w:t xml:space="preserve">- Chỉ tiêu “Doanh thu thuần về bán hàng và cung cấp dịch vụ”: + Cột (3), (4), (5) và (6): Ghi giá trị bằng giá trị tương ứng theo từng cột tại chỉ tiêu “Doanh thu bán hàng và cung cấp dịch vụ” trừ (-) chỉ tiêu “Các khoản giảm trừ doanh thu”.</w:t>
      </w:r>
    </w:p>
    <w:p>
      <w:pPr>
        <w:spacing w:after="120" w:line="360"/>
      </w:pPr>
      <w:r>
        <w:rPr>
          <w:rFonts w:ascii="Times New Roman" w:cs="Times New Roman" w:eastAsia="Times New Roman" w:hAnsi="Times New Roman"/>
          <w:sz w:val="26"/>
          <w:szCs w:val="26"/>
        </w:rPr>
        <w:t xml:space="preserve">- Chỉ tiêu “Giá vốn hàng bán”: +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Chỉ tiêu “Lợi nhuận gộp về bán hàng và cung cấp dịch vụ”: + Cột (3), (4), (5) và (6) có giá trị bằng giá trị tương ứng theo từng cột tại chỉ tiêu “Doanh thu thuần về bán hàng và cung cấp dịch vụ” trừ (-) chỉ tiêu “Giá vốn hàng bán”.</w:t>
      </w:r>
    </w:p>
    <w:p>
      <w:pPr>
        <w:spacing w:after="120" w:line="360"/>
      </w:pPr>
      <w:r>
        <w:rPr>
          <w:rFonts w:ascii="Times New Roman" w:cs="Times New Roman" w:eastAsia="Times New Roman" w:hAnsi="Times New Roman"/>
          <w:sz w:val="26"/>
          <w:szCs w:val="26"/>
        </w:rPr>
        <w:t xml:space="preserve">- Các chỉ tiêu “Chi phí bán hàng” và “Chi phí quản lý doanh nghiệp”: +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“Doanh thu hoạt động tài chính”: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doanh thu hoạt động tài chính.</w:t>
      </w:r>
    </w:p>
    <w:p>
      <w:pPr>
        <w:spacing w:after="120" w:line="360"/>
      </w:pPr>
      <w:r>
        <w:rPr>
          <w:rFonts w:ascii="Times New Roman" w:cs="Times New Roman" w:eastAsia="Times New Roman" w:hAnsi="Times New Roman"/>
          <w:sz w:val="26"/>
          <w:szCs w:val="26"/>
        </w:rPr>
        <w:t xml:space="preserve">- Chỉ tiêu “Lãi tiền gửi và lãi cho vay”: Ghi giá trị tiền lãi thu được từ hoạt động cho vay tính vào doanh thu hoạt động tài chính trong kỳ.</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spacing w:after="120" w:line="360"/>
      </w:pPr>
      <w:r>
        <w:rPr>
          <w:rFonts w:ascii="Times New Roman" w:cs="Times New Roman" w:eastAsia="Times New Roman" w:hAnsi="Times New Roman"/>
          <w:sz w:val="26"/>
          <w:szCs w:val="26"/>
        </w:rPr>
        <w:t xml:space="preserve">- Chỉ tiêu “Chi phí tài chính”: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chi phí hoạt động tài chính.</w:t>
      </w:r>
    </w:p>
    <w:p>
      <w:pPr>
        <w:spacing w:after="120" w:line="360"/>
      </w:pPr>
      <w:r>
        <w:rPr>
          <w:rFonts w:ascii="Times New Roman" w:cs="Times New Roman" w:eastAsia="Times New Roman" w:hAnsi="Times New Roman"/>
          <w:sz w:val="26"/>
          <w:szCs w:val="26"/>
        </w:rPr>
        <w:t xml:space="preserve">- Chỉ tiêu “Chi phí lãi tiền vay dùng cho hoạt động sản xuất, kinh doanh”: Ghi giá trị chi phí lãi vay tính vào chi phí tài chính trong kỳ.</w:t>
      </w:r>
    </w:p>
    <w:p>
      <w:pPr>
        <w:spacing w:after="120" w:line="360"/>
      </w:pPr>
      <w:r>
        <w:rPr>
          <w:rFonts w:ascii="Times New Roman" w:cs="Times New Roman" w:eastAsia="Times New Roman" w:hAnsi="Times New Roman"/>
          <w:sz w:val="26"/>
          <w:szCs w:val="26"/>
        </w:rPr>
        <w:t xml:space="preserve">+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spacing w:after="120" w:line="360"/>
      </w:pPr>
      <w:r>
        <w:rPr>
          <w:rFonts w:ascii="Times New Roman" w:cs="Times New Roman" w:eastAsia="Times New Roman" w:hAnsi="Times New Roman"/>
          <w:sz w:val="26"/>
          <w:szCs w:val="26"/>
        </w:rPr>
        <w:t xml:space="preserve">- Chỉ tiêu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tổng giá trị chi phí khấu hao đã tính vào chi phí trong kỳ và được xác định bằng tổng giá trị chi phí khấu hao đã tính vào giá vốn hàng bán, chi phí bán hàng và chi phí quản lý doanh nghiệp.</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trong kỳ không bao gồm chênh lệch doanh thu và chi phí của hoạt động tài chính”: + Cột (3), (4), (5) và (6): Ghi giá trị bằng giá trị tương ứng theo từng cột tại chỉ tiêu “Lợi nhuận gộp về bán hàng và cung cấp dịch vụ” trừ (-) chỉ tiêu “Chi phí bán hàng” trừ (-) chỉ tiêu “Chi phí quản lý doanh nghiệp”.</w:t>
      </w:r>
    </w:p>
    <w:p>
      <w:pPr>
        <w:spacing w:after="120" w:line="360"/>
      </w:pPr>
      <w:r>
        <w:rPr>
          <w:rFonts w:ascii="Times New Roman" w:cs="Times New Roman" w:eastAsia="Times New Roman" w:hAnsi="Times New Roman"/>
          <w:sz w:val="26"/>
          <w:szCs w:val="26"/>
        </w:rPr>
        <w:t xml:space="preserve">- Chỉ tiêu “Tổng lợi nhuận thuần từ hoạt động kinh doanh cộng chi phí lãi vay sau khi trừ lãi tiền gửi và lãi cho vay trong kỳ cộng chi phí khấu hao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chỉ tiêu “Lợi nhuận thuần từ hoạt động sản xuất kinh doanh” cộng (+) chỉ tiêu “Chi phí lãi vay” trừ (-) chỉ tiêu “Lãi tiền gửi và lãi cho vay” cộng (+) chỉ tiêu “Chi phí khấu hao”.</w:t>
      </w:r>
    </w:p>
    <w:p>
      <w:pPr>
        <w:spacing w:after="120" w:line="360"/>
      </w:pPr>
      <w:r>
        <w:rPr>
          <w:rFonts w:ascii="Times New Roman" w:cs="Times New Roman" w:eastAsia="Times New Roman" w:hAnsi="Times New Roman"/>
          <w:sz w:val="26"/>
          <w:szCs w:val="26"/>
        </w:rPr>
        <w:t xml:space="preserve">-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(17.1), (17.2), (17.3),...</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Điều 13, Điều 14, Điều 15 Nghị định số 132/2020/NĐ-CP.</w:t>
      </w:r>
    </w:p>
    <w:p>
      <w:pPr>
        <w:spacing w:after="120" w:line="360"/>
      </w:pPr>
      <w:r>
        <w:rPr>
          <w:rFonts w:ascii="Times New Roman" w:cs="Times New Roman" w:eastAsia="Times New Roman" w:hAnsi="Times New Roman"/>
          <w:sz w:val="26"/>
          <w:szCs w:val="26"/>
        </w:rPr>
        <w:t xml:space="preserve">+ Cột (3) và (4): Ghi giá trị tỷ suất lợi nhuận sử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Ví dụ: +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pPr>
        <w:spacing w:after="120" w:line="360"/>
      </w:pPr>
      <w:r>
        <w:rPr>
          <w:rFonts w:ascii="Times New Roman" w:cs="Times New Roman" w:eastAsia="Times New Roman" w:hAnsi="Times New Roman"/>
          <w:sz w:val="26"/>
          <w:szCs w:val="26"/>
        </w:rPr>
        <w:t xml:space="preserve">-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Dành cho người nộp thuế thuộc các ngành ngân hàng, tín dụng: - Chỉ tiêu “Thu nhập lãi và các khoản thu nhập tương tự”: +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Chỉ tiêu “Chi phí lãi và các khoản chi phí tương tự”: +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Chỉ tiêu “Thu nhập lãi thuần”: Cột (3), (4), (5) và (6): Ghi giá trị bằng (=) giá trị tương ứng theo từng cột tại chỉ tiêu Thu nhập lãi và các khoản thu nhập tương tự trừ (-)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“Thu nhập từ hoạt động dịch vụ”: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dịch vụ”: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“Lãi/lỗ thuần từ hoạt động dịch vụ”: Cột (3), (4), (5) và (6): Ghi giá trị bằng (=) giá trị tương ứng theo từng cột tại chỉ tiêu “Thu nhập từ hoạt động dịch vụ” trừ (-) chỉ tiêu “Chi phí hoạt động dịch vụ”.</w:t>
      </w:r>
    </w:p>
    <w:p>
      <w:pPr>
        <w:spacing w:after="120" w:line="360"/>
      </w:pPr>
      <w:r>
        <w:rPr>
          <w:rFonts w:ascii="Times New Roman" w:cs="Times New Roman" w:eastAsia="Times New Roman" w:hAnsi="Times New Roman"/>
          <w:sz w:val="26"/>
          <w:szCs w:val="26"/>
        </w:rPr>
        <w:t xml:space="preserve">-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“Thu nhập từ hoạt động khác”: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khác”: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“Lãi/lỗ thuần từ hoạt động khác”: Cột (3), (4), (5) và (6): Ghi giá trị bằng (=) giá trị tương ứng theo từng cột tại chỉ tiêu “Thu nhập từ hoạt động khác” trừ (-) chỉ tiêu “Chi phí hoạt động khác”.</w:t>
      </w:r>
    </w:p>
    <w:p>
      <w:pPr>
        <w:spacing w:after="120" w:line="360"/>
      </w:pPr>
      <w:r>
        <w:rPr>
          <w:rFonts w:ascii="Times New Roman" w:cs="Times New Roman" w:eastAsia="Times New Roman" w:hAnsi="Times New Roman"/>
          <w:sz w:val="26"/>
          <w:szCs w:val="26"/>
        </w:rPr>
        <w:t xml:space="preserve">- Chỉ tiêu “Thu nhập từ góp vốn, mua cổ phần”: Ghi theo hướng dẫn tương tự tại chỉ tiêu “Thu nhập lãi và các khoản thu nhập tương tự”.</w:t>
      </w:r>
    </w:p>
    <w:p>
      <w:pPr>
        <w:spacing w:after="120" w:line="360"/>
      </w:pPr>
      <w:r>
        <w:rPr>
          <w:rFonts w:ascii="Times New Roman" w:cs="Times New Roman" w:eastAsia="Times New Roman" w:hAnsi="Times New Roman"/>
          <w:sz w:val="26"/>
          <w:szCs w:val="26"/>
        </w:rPr>
        <w:t xml:space="preserve">- Chỉ tiêu “Chi phí hoạt động”: Ghi theo hướng dẫn tương tự tại chỉ tiêu “Chi trả lãi và các khoản chi phí tương tự”.</w:t>
      </w:r>
    </w:p>
    <w:p>
      <w:pPr>
        <w:spacing w:after="120" w:line="360"/>
      </w:pPr>
      <w:r>
        <w:rPr>
          <w:rFonts w:ascii="Times New Roman" w:cs="Times New Roman" w:eastAsia="Times New Roman" w:hAnsi="Times New Roman"/>
          <w:sz w:val="26"/>
          <w:szCs w:val="26"/>
        </w:rPr>
        <w:t xml:space="preserve">- Chỉ tiêu “Chi phí dự phòng rủi ro tín dụng”: + Cột (3), (4) và (5): Ghi tổng giá trị chi phí dự phòng rủi ro tín dụng tương ứng với thu nhập và các khoản thu có tính chất là doanh thu tại Cột (3), (4) và (5) được trích lập dự phòng.</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“Tổng lợi nhuận trước thuế”: Phản ánh tổng số lợi nhuận thực hiện trước thuế của tổ chức ngân hàng, tín dụng trong kỳ tính thuế và được xác định như sau: +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pPr>
        <w:spacing w:after="120" w:line="360"/>
      </w:pPr>
      <w:r>
        <w:rPr>
          <w:rFonts w:ascii="Times New Roman" w:cs="Times New Roman" w:eastAsia="Times New Roman" w:hAnsi="Times New Roman"/>
          <w:sz w:val="26"/>
          <w:szCs w:val="26"/>
        </w:rPr>
        <w:t xml:space="preserve">- Chỉ tiêu: “Lợi nhuận thuần từ hoạt động sản xuất kinh doanh”: + Cột (3), (4), (5) và (6): Ghi giá trị bằng giá trị tương ứng theo từng cột tại chỉ tiêu “Tổng lợi nhuận trước thuế” trừ (-) chỉ tiêu “Lãi/lỗ thuần từ hoạt động khác”.</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(18.1), (18.2), (18.3) ...</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Điều 13, Điều 14, Điều 15 Nghị định số 132/2020/NĐ-CP.</w:t>
      </w:r>
    </w:p>
    <w:p>
      <w:pPr>
        <w:spacing w:after="120" w:line="360"/>
      </w:pPr>
      <w:r>
        <w:rPr>
          <w:rFonts w:ascii="Times New Roman" w:cs="Times New Roman" w:eastAsia="Times New Roman" w:hAnsi="Times New Roman"/>
          <w:sz w:val="26"/>
          <w:szCs w:val="26"/>
        </w:rPr>
        <w:t xml:space="preserve">+ Cột (3) và (4): Ghi giá trị tỷ suất lợi nhuận áp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Dành cho người nộp thuế là các công ty chứng khoán: a) Trường hợp người nộp thuế đã kê khai đánh dấu (x) vào Cột 3 tại dòng 2a Mục II Phụ lục I kèm theo Nghị định số 20/2025/NĐ-CP, thực hiện kê khai theo hướng dẫn như sau: - Các chỉ tiêu tại dòng (1.1.a), (1.1.b), (1.1.c), (1.2), (1.3), (1.4), (1.5), (1.6), (1.7), (1.8), (1.9), (1.10), (1.11), (2.1.a), (2.1.b), (2.1.c), (2.2), (2.3), (2.4), (2.5), (2.6), (2.7), (2.8), (2.9), (2.10), (2.11), (2.12), (3.1), (3.2), (3.3), (3.4), (4.1), (4.2), (4.3), (4.4), (4.5), (5), (6), (7), và (10):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được xác định từ số liệu tại Báo cáo tài chính.</w:t>
      </w:r>
    </w:p>
    <w:p>
      <w:pPr>
        <w:spacing w:after="120" w:line="360"/>
      </w:pPr>
      <w:r>
        <w:rPr>
          <w:rFonts w:ascii="Times New Roman" w:cs="Times New Roman" w:eastAsia="Times New Roman" w:hAnsi="Times New Roman"/>
          <w:sz w:val="26"/>
          <w:szCs w:val="26"/>
        </w:rPr>
        <w:t xml:space="preserve">- Chỉ tiêu tại dòng (15): Người nộp thuế để trống không kê khai.</w:t>
      </w:r>
    </w:p>
    <w:p>
      <w:pPr>
        <w:spacing w:after="120" w:line="360"/>
      </w:pPr>
      <w:r>
        <w:rPr>
          <w:rFonts w:ascii="Times New Roman" w:cs="Times New Roman" w:eastAsia="Times New Roman" w:hAnsi="Times New Roman"/>
          <w:sz w:val="26"/>
          <w:szCs w:val="26"/>
        </w:rPr>
        <w:t xml:space="preserve">b) Trường hợp người nộp thuế không được miễn lập Hồ sơ xác định giá giao dịch liên kết theo quy định tại điểm a khoản 2 Điều 19 Nghị định số 132/2020/NĐ-CP, kê khai như sau: - Các chỉ tiêu tại dòng (1.1.a), (1.1.b), (1.1.c), (1.2), (1.3), (1.4), (1.5), (1.6), (1.7), (1.8), (1.9), (1.10), (1.11), (2.1.a), (2.1.b), (2.1.c), (2.2), (2.3), (2.4), (2.5), (2.6), (2.7), (2.8), (2.9), (2.10), (2.11), (2.12), (3.1), (3.2), (3.3), (3.4), (4.1), (4.2), (4.3), (4.4), (4.5), (5), (6) và (10): +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spacing w:after="120" w:line="360"/>
      </w:pPr>
      <w:r>
        <w:rPr>
          <w:rFonts w:ascii="Times New Roman" w:cs="Times New Roman" w:eastAsia="Times New Roman" w:hAnsi="Times New Roman"/>
          <w:sz w:val="26"/>
          <w:szCs w:val="26"/>
        </w:rPr>
        <w:t xml:space="preserve">+ Cột (6): Ghi tổng giá trị được xác định theo công thức tính tại Phụ lục I ban hành kèm theo Nghị định số 20/2025/NĐ-CP.</w:t>
      </w:r>
    </w:p>
    <w:p>
      <w:pPr>
        <w:spacing w:after="120" w:line="360"/>
      </w:pPr>
      <w:r>
        <w:rPr>
          <w:rFonts w:ascii="Times New Roman" w:cs="Times New Roman" w:eastAsia="Times New Roman" w:hAnsi="Times New Roman"/>
          <w:sz w:val="26"/>
          <w:szCs w:val="26"/>
        </w:rPr>
        <w:t xml:space="preserve">-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w:t>
      </w:r>
    </w:p>
    <w:p>
      <w:pPr>
        <w:spacing w:after="120" w:line="360"/>
      </w:pPr>
      <w:r>
        <w:rPr>
          <w:rFonts w:ascii="Times New Roman" w:cs="Times New Roman" w:eastAsia="Times New Roman" w:hAnsi="Times New Roman"/>
          <w:sz w:val="26"/>
          <w:szCs w:val="26"/>
        </w:rPr>
        <w:t xml:space="preserve">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spacing w:after="120" w:line="360"/>
      </w:pPr>
      <w:r>
        <w:rPr>
          <w:rFonts w:ascii="Times New Roman" w:cs="Times New Roman" w:eastAsia="Times New Roman" w:hAnsi="Times New Roman"/>
          <w:sz w:val="26"/>
          <w:szCs w:val="26"/>
        </w:rPr>
        <w:t xml:space="preserve">- Chỉ tiêu “Tổng lợi nhuận thuần từ hoạt động kinh doanh trong kỳ cộng chi phí lãi vay sau khi trừ lãi tiền gửi và lãi cho vay phát sinh trong kỳ cộng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pPr>
        <w:spacing w:after="120" w:line="360"/>
      </w:pPr>
      <w:r>
        <w:rPr>
          <w:rFonts w:ascii="Times New Roman" w:cs="Times New Roman" w:eastAsia="Times New Roman" w:hAnsi="Times New Roman"/>
          <w:sz w:val="26"/>
          <w:szCs w:val="26"/>
        </w:rPr>
        <w:t xml:space="preserve">-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 Cột (3), (4) và (5): Người nộp thuế để trống không kê khai.</w:t>
      </w:r>
    </w:p>
    <w:p>
      <w:pPr>
        <w:spacing w:after="120" w:line="360"/>
      </w:pPr>
      <w:r>
        <w:rPr>
          <w:rFonts w:ascii="Times New Roman" w:cs="Times New Roman" w:eastAsia="Times New Roman" w:hAnsi="Times New Roman"/>
          <w:sz w:val="26"/>
          <w:szCs w:val="26"/>
        </w:rPr>
        <w:t xml:space="preserve">+ Cột (6): Ghi giá trị tỷ lệ phần trăm bằng (=) giá trị (chỉ tiêu “Tổng Chi phí lãi tiền vay” trừ (-) chỉ tiêu “Tổng lãi tiền gửi và lãi cho vay”] chia (:) giá trị chỉ tiêu “Lợi nhuận thuần từ hoạt động kinh doanh cộng chi phí lãi vay cộng chi phí khấu hao phát sinh trong kỳ”.</w:t>
      </w:r>
    </w:p>
    <w:p>
      <w:pPr>
        <w:spacing w:after="120" w:line="360"/>
      </w:pPr>
      <w:r>
        <w:rPr>
          <w:rFonts w:ascii="Times New Roman" w:cs="Times New Roman" w:eastAsia="Times New Roman" w:hAnsi="Times New Roman"/>
          <w:sz w:val="26"/>
          <w:szCs w:val="26"/>
        </w:rPr>
        <w:t xml:space="preserve">- Chỉ tiêu “Tỷ suất lợi nhuận sử dụng xác định giá giao dịch liên kết”: + Cột (2): Ghi các tỷ suất lợi nhuận áp dụng để điều chỉnh, xác định giá giao dịch liên kết tại các dòng chỉ tiêu (15.1), (15.2) (15.3), ...</w:t>
      </w:r>
    </w:p>
    <w:p>
      <w:pPr>
        <w:spacing w:after="120" w:line="360"/>
      </w:pPr>
      <w:r>
        <w:rPr>
          <w:rFonts w:ascii="Times New Roman" w:cs="Times New Roman" w:eastAsia="Times New Roman" w:hAnsi="Times New Roman"/>
          <w:sz w:val="26"/>
          <w:szCs w:val="26"/>
        </w:rPr>
        <w:t xml:space="preserve">tương ứng với phương pháp xác định giá giao dịch liên kết theo quy định tại khoản 2 và 3 Điều 13, Điều 14, Điều 15 Nghị định số 132/2020/NĐ-CP.</w:t>
      </w:r>
    </w:p>
    <w:p>
      <w:pPr>
        <w:spacing w:after="120" w:line="360"/>
      </w:pPr>
      <w:r>
        <w:rPr>
          <w:rFonts w:ascii="Times New Roman" w:cs="Times New Roman" w:eastAsia="Times New Roman" w:hAnsi="Times New Roman"/>
          <w:sz w:val="26"/>
          <w:szCs w:val="26"/>
        </w:rPr>
        <w:t xml:space="preserve">+ Cột (3) và (4): Ghi giá trị tỷ suất lợi nhuận áp dụng xác định giá giao dịch liên kết theo Hồ sơ xác định giá giao dịch liên kết tại Cột (3) và theo APA tại Cột (4).</w:t>
      </w:r>
    </w:p>
    <w:p>
      <w:pPr>
        <w:spacing w:after="120" w:line="360"/>
      </w:pPr>
      <w:r>
        <w:rPr>
          <w:rFonts w:ascii="Times New Roman" w:cs="Times New Roman" w:eastAsia="Times New Roman" w:hAnsi="Times New Roman"/>
          <w:sz w:val="26"/>
          <w:szCs w:val="26"/>
        </w:rPr>
        <w:t xml:space="preserve">+ Cột (5) và (6): Người nộp thuế để trống không kê khai.</w:t>
      </w:r>
    </w:p>
    <w:p>
      <w:pPr>
        <w:spacing w:after="120" w:line="360"/>
      </w:pPr>
      <w:r>
        <w:rPr>
          <w:rFonts w:ascii="Times New Roman" w:cs="Times New Roman" w:eastAsia="Times New Roman" w:hAnsi="Times New Roman"/>
          <w:sz w:val="26"/>
          <w:szCs w:val="26"/>
        </w:rPr>
        <w:t xml:space="preserve">[1] Người nộp thuế đánh dấu “x” vào cột hình thức quan hệ liên kết kê khai theo quy định tại khoản 2 Điều 5 Nghị định số 132/2020/NĐ-CP ngày 05 tháng 11 năm 2020 của Chính phủ được và Điều 1 Nghị định số 20/2025/NĐ-CP ngày 10 tháng 02 năm 2025 của Chính phủ.</w:t>
      </w:r>
    </w:p>
    <w:p>
      <w:pPr>
        <w:spacing w:after="120" w:line="360"/>
      </w:pPr>
      <w:r>
        <w:rPr>
          <w:rFonts w:ascii="Times New Roman" w:cs="Times New Roman" w:eastAsia="Times New Roman" w:hAnsi="Times New Roman"/>
          <w:sz w:val="26"/>
          <w:szCs w:val="26"/>
        </w:rPr>
        <w:t xml:space="preserve">Trường hợp bên liên kết thuộc nhiều hơn một hình thức quan hệ liên kết, người nộp thuế đánh dấu “x” vào các ô tương ứng.</w:t>
      </w:r>
    </w:p>
    <w:p>
      <w:pPr>
        <w:spacing w:after="120" w:line="360"/>
      </w:pPr>
      <w:r>
        <w:rPr>
          <w:rFonts w:ascii="Times New Roman" w:cs="Times New Roman" w:eastAsia="Times New Roman" w:hAnsi="Times New Roman"/>
          <w:sz w:val="26"/>
          <w:szCs w:val="26"/>
        </w:rPr>
        <w:t xml:space="preserve">[2] Người nộp thuế đánh dấu “x” vào dòng trường hợp miễn trừ áp dụng tương ứng.</w:t>
      </w:r>
    </w:p>
    <w:p>
      <w:pPr>
        <w:spacing w:after="120" w:line="360"/>
      </w:pPr>
      <w:r>
        <w:rPr>
          <w:rFonts w:ascii="Times New Roman" w:cs="Times New Roman" w:eastAsia="Times New Roman" w:hAnsi="Times New Roman"/>
          <w:sz w:val="26"/>
          <w:szCs w:val="26"/>
        </w:rPr>
        <w:t xml:space="preserve">[3] Giá trị phân bổ cho cơ sở thường trú cần kê khai và chú thích rõ là phân bổ doanh thu hay chi phí cho cơ sở thường trú.</w:t>
      </w:r>
    </w:p>
    <w:p>
      <w:pPr>
        <w:spacing w:after="120" w:line="360"/>
      </w:pPr>
      <w:r>
        <w:rPr>
          <w:rFonts w:ascii="Times New Roman" w:cs="Times New Roman" w:eastAsia="Times New Roman" w:hAnsi="Times New Roman"/>
          <w:sz w:val="26"/>
          <w:szCs w:val="26"/>
        </w:rPr>
        <w:t xml:space="preserve">[4] Người nộp thuế kê khai “x” đối với giao dịch thuộc phạm vi áp dụng APA và “không” đối với giao dịch không thuộc phạm vi áp dụng APA..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2026-08-31T08:15:53.929Z</dcterms:created>
  <dcterms:modified xsi:type="dcterms:W3CDTF">2026-08-31T08:15:53.929Z</dcterms:modified>
</cp:coreProperties>
</file>

<file path=docProps/custom.xml><?xml version="1.0" encoding="utf-8"?>
<Properties xmlns="http://schemas.openxmlformats.org/officeDocument/2006/custom-properties" xmlns:vt="http://schemas.openxmlformats.org/officeDocument/2006/docPropsVTypes"/>
</file>