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255/2026/NĐ-CP quy định về quản lý thuế đối với doanh nghiệp có giao dịch liên kết</w:t>
      </w:r>
    </w:p>
    <w:p>
      <w:pPr>
        <w:spacing w:after="360"/>
        <w:jc w:val="center"/>
      </w:pPr>
      <w:r>
        <w:rPr>
          <w:rFonts w:ascii="Times New Roman" w:cs="Times New Roman" w:eastAsia="Times New Roman" w:hAnsi="Times New Roman"/>
          <w:i/>
          <w:iCs/>
          <w:sz w:val="22"/>
          <w:szCs w:val="22"/>
        </w:rPr>
        <w:t xml:space="preserve">Số hiệu: 255/2026/NĐ-CP | Cơ quan ban hành: Chính phủ | Ngày ban hành: 2026-06-20</w:t>
      </w:r>
    </w:p>
    <w:p>
      <w:pPr>
        <w:spacing w:after="120" w:line="360"/>
      </w:pPr>
      <w:r>
        <w:rPr>
          <w:rFonts w:ascii="Times New Roman" w:cs="Times New Roman" w:eastAsia="Times New Roman" w:hAnsi="Times New Roman"/>
          <w:sz w:val="26"/>
          <w:szCs w:val="26"/>
        </w:rPr>
        <w:t xml:space="preserve">CHÍNH PHỦ _______ Số: 255/2026/NĐ-CP CỘNG HÒA XÃ HỘI CHỦ NGHĨA VIỆT NAM Độc lập - Tự do - Hạnh phúc __________________________ Hà Nội, ngày 20 tháng 6 năm 2026 NGHỊ ĐỊNH Quy định về quản lý thuế đối với doanh nghiệp có giao dịch liên kết Căn cứ Luật Tổ chức Chính phủ ngày 19 tháng 6 năm 2015; Căn cứ Luật Quản lý thuế ngày 13 tháng 6 năm 2019; Căn cứ Luật Thuế thu nhập doanh nghiệp số 67/2025/QH15; Chính phủ ban hành Nghị định thay thế hoàn toàn Nghị định 132/2020/NĐ-CP từ kỳ tính thuế 2026.</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và nguyên tắc áp dụng 1.</w:t>
      </w:r>
    </w:p>
    <w:p>
      <w:pPr>
        <w:spacing w:after="120" w:line="360"/>
      </w:pPr>
      <w:r>
        <w:rPr>
          <w:rFonts w:ascii="Times New Roman" w:cs="Times New Roman" w:eastAsia="Times New Roman" w:hAnsi="Times New Roman"/>
          <w:sz w:val="26"/>
          <w:szCs w:val="26"/>
        </w:rPr>
        <w:t xml:space="preserve">Nghị định này quy định về xác định giá giao dịch liên kết, kê khai thông tin giao dịch liên kết, quản lý chi phí lãi vay và nghĩa vụ nộp Báo cáo lợi nhuận liên quốc gia (CbCR).</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Áp dụng nguyên tắc bản chất hoạt động, giao dịch quyết định nghĩa vụ thuế và nguyên tắc giao dịch độc lập (Arm's length principle).</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Khống chế trần chi phí lãi vay (EBITDA) 1.</w:t>
      </w:r>
    </w:p>
    <w:p>
      <w:pPr>
        <w:spacing w:after="120" w:line="360"/>
      </w:pPr>
      <w:r>
        <w:rPr>
          <w:rFonts w:ascii="Times New Roman" w:cs="Times New Roman" w:eastAsia="Times New Roman" w:hAnsi="Times New Roman"/>
          <w:sz w:val="26"/>
          <w:szCs w:val="26"/>
        </w:rPr>
        <w:t xml:space="preserve">Tổng chi phí lãi vay sau khi trừ lãi tiền gửi và lãi cho vay phát sinh trong kỳ của người nộp thuế được trừ khi xác định thu nhập chịu thuế TNDN không vượt quá 30% của tổng lợi nhuận thuần từ hoạt động kinh doanh cộng chi phí lãi vay sau khi trừ lãi tiền gửi và lãi cho vay cộng chi phí khấu hao phát sinh trong kỳ (EBITDA).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Phần chi phí lãi vay không được trừ theo quy định tại khoản 1 Điều này được chuyển sang kỳ tính thuế tiếp theo khi xác định tổng chi phí lãi vay được trừ trong thời hạn không quá 05 năm liên tục.</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01 tháng 08 năm 2026 và áp dụng từ kỳ tính thuế TNDN năm 2026.</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2026-08-31T09:49:05.958Z</dcterms:created>
  <dcterms:modified xsi:type="dcterms:W3CDTF">2026-08-31T09:49:05.958Z</dcterms:modified>
</cp:coreProperties>
</file>

<file path=docProps/custom.xml><?xml version="1.0" encoding="utf-8"?>
<Properties xmlns="http://schemas.openxmlformats.org/officeDocument/2006/custom-properties" xmlns:vt="http://schemas.openxmlformats.org/officeDocument/2006/docPropsVTypes"/>
</file>