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101/2025/TT-BTC hướng dẫn chế độ kế toán đối với doanh nghiệp bảo hiểm, tái bảo hiểm và môi giới bảo hiểm</w:t>
      </w:r>
    </w:p>
    <w:p>
      <w:pPr>
        <w:spacing w:after="360"/>
        <w:jc w:val="center"/>
      </w:pPr>
      <w:r>
        <w:rPr>
          <w:rFonts w:ascii="Times New Roman" w:cs="Times New Roman" w:eastAsia="Times New Roman" w:hAnsi="Times New Roman"/>
          <w:i/>
          <w:iCs/>
          <w:sz w:val="22"/>
          <w:szCs w:val="22"/>
        </w:rPr>
        <w:t xml:space="preserve">Số hiệu: 101/2025/TT-BTC | Cơ quan ban hành: Bộ Tài chính | Ngày ban hành: 2025-11-20</w:t>
      </w:r>
    </w:p>
    <w:p>
      <w:pPr>
        <w:spacing w:after="120" w:line="360"/>
      </w:pPr>
      <w:r>
        <w:rPr>
          <w:rFonts w:ascii="Times New Roman" w:cs="Times New Roman" w:eastAsia="Times New Roman" w:hAnsi="Times New Roman"/>
          <w:sz w:val="26"/>
          <w:szCs w:val="26"/>
        </w:rPr>
        <w:t xml:space="preserve">BỘ TÀI CHÍNH _______ Số: 101/2025/TT-BTC CỘNG HÒA XÃ HỘI CHỦ NGHĨA VIỆT NAM Độc lập - Tự do - Hạnh phúc __________________________ Hà Nội, ngày 20 tháng 11 năm 2025 THÔNG TƯ Hướng dẫn Chế độ kế toán đối với doanh nghiệp bảo hiểm, tái bảo hiểm và chi nhánh doanh nghiệp bảo hiểm phi nhân thọ nước ngoài Căn cứ Luật Kinh doanh bảo hiểm số 08/2022/QH15; Căn cứ Luật Kế toán số 88/2015/QH13; Bộ trưởng Bộ Tài chính ban hành Thông tư hướng dẫn Chế độ kế toán đặc thù cho ngành bảo hiểm.</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Thông tư này hướng dẫn về tài khoản kế toán, phương pháp hạch toán doanh thu phí bảo hiểm, trích lập dự phòng nghiệp vụ bảo hiểm (dự phòng phí chưa được hưởng, dự phòng bồi thường, dự phòng dao động lớn) và lập Báo cáo tài chính theo IFRS 17 (Hợp đồng bảo hiểm).</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Thông tư này có hiệu lực thi hành từ ngày 01 tháng 01 năm 2026.</w:t>
      </w:r>
    </w:p>
    <w:p>
      <w:pPr>
        <w:spacing w:after="120" w:line="360"/>
      </w:pPr>
      <w:r>
        <w:rPr>
          <w:rFonts w:ascii="Times New Roman" w:cs="Times New Roman" w:eastAsia="Times New Roman" w:hAnsi="Times New Roman"/>
          <w:sz w:val="26"/>
          <w:szCs w:val="26"/>
        </w:rPr>
        <w:t xml:space="preserve">BỘ TÀI CHÍNH KT.</w:t>
      </w:r>
    </w:p>
    <w:p>
      <w:pPr>
        <w:spacing w:after="120" w:line="360"/>
      </w:pPr>
      <w:r>
        <w:rPr>
          <w:rFonts w:ascii="Times New Roman" w:cs="Times New Roman" w:eastAsia="Times New Roman" w:hAnsi="Times New Roman"/>
          <w:sz w:val="26"/>
          <w:szCs w:val="26"/>
        </w:rPr>
        <w:t xml:space="preserve">BỘ TRƯỞNG - THỨ TRƯỞNG Nguyễn Đức Chi.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2026-08-31T09:49:06.057Z</dcterms:created>
  <dcterms:modified xsi:type="dcterms:W3CDTF">2026-08-31T09:49:06.057Z</dcterms:modified>
</cp:coreProperties>
</file>

<file path=docProps/custom.xml><?xml version="1.0" encoding="utf-8"?>
<Properties xmlns="http://schemas.openxmlformats.org/officeDocument/2006/custom-properties" xmlns:vt="http://schemas.openxmlformats.org/officeDocument/2006/docPropsVTypes"/>
</file>