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Thông tư 118/2026/TT-BTC hướng dẫn đối tượng, phạm vi và lộ trình áp dụng Chuẩn mực Báo cáo Tài chính Quốc tế (IFRS / VFRS) tại Việt Nam</w:t>
      </w:r>
    </w:p>
    <w:p>
      <w:pPr>
        <w:spacing w:after="360"/>
        <w:jc w:val="center"/>
      </w:pPr>
      <w:r>
        <w:rPr>
          <w:rFonts w:ascii="Times New Roman" w:cs="Times New Roman" w:eastAsia="Times New Roman" w:hAnsi="Times New Roman"/>
          <w:i/>
          <w:iCs/>
          <w:sz w:val="22"/>
          <w:szCs w:val="22"/>
        </w:rPr>
        <w:t xml:space="preserve">Số hiệu: 118/2026/TT-BTC | Cơ quan ban hành: Bộ Tài chính | Ngày ban hành: 2026-08-18</w:t>
      </w:r>
    </w:p>
    <w:p>
      <w:pPr>
        <w:spacing w:after="120" w:line="360"/>
      </w:pPr>
      <w:r>
        <w:rPr>
          <w:rFonts w:ascii="Times New Roman" w:cs="Times New Roman" w:eastAsia="Times New Roman" w:hAnsi="Times New Roman"/>
          <w:sz w:val="26"/>
          <w:szCs w:val="26"/>
        </w:rPr>
        <w:t xml:space="preserve">BỘ TÀI CHÍNH _______ Số: 118/2026/TT-BTC CỘNG HÒA XÃ HỘI CHỦ NGHĨA VIỆT NAM Độc lập - Tự do - Hạnh phúc __________________________ Hà Nội, ngày 18 tháng 8 năm 2026 THÔNG TƯ Hướng dẫn đối tượng, phạm vi và lộ trình áp dụng Chuẩn mực Báo cáo Tài chính Quốc tế (IFRS / VFRS) tại Việt Nam Căn cứ Luật Kế toán số 88/2015/QH13 ngày 20 tháng 11 năm 2015; Căn cứ Luật sửa đổi, bổ sung một số điều của Luật Chứng khoán, Luật Kế toán, Luật Kiểm toán độc lập số 56/2024/QH15; Căn cứ Quyết định số 345/QĐ-BTC ngày 16 tháng 3 năm 2020 của Bộ trưởng Bộ Tài chính phê duyệt Đề án áp dụng chuẩn mực báo cáo tài chính tại Việt Nam; Căn cứ Nghị định số 29/2025/NĐ-CP ngày 24 tháng 02 năm 2025 của Chính phủ quy định chức năng, nhiệm vụ, quyền hạn và cơ cấu tổ chức của Bộ Tài chính; Theo đề nghị của Cục trưởng Cục Quản lý, giám sát kế toán, kiểm toán; Bộ trưởng Bộ Tài chính ban hành Thông tư hướng dẫn đối tượng, phạm vi và lộ trình áp dụng Chuẩn mực Báo cáo Tài chính Quốc tế (IFRS / VFRS) tại Việt Nam.</w:t>
      </w:r>
    </w:p>
    <w:p>
      <w:pPr>
        <w:spacing w:after="120" w:line="360"/>
      </w:pPr>
      <w:r>
        <w:rPr>
          <w:rFonts w:ascii="Times New Roman" w:cs="Times New Roman" w:eastAsia="Times New Roman" w:hAnsi="Times New Roman"/>
          <w:sz w:val="26"/>
          <w:szCs w:val="26"/>
        </w:rPr>
        <w:t xml:space="preserve">Chương I QUY ĐỊNH CHUNG Điều 1.</w:t>
      </w:r>
    </w:p>
    <w:p>
      <w:pPr>
        <w:spacing w:after="120" w:line="360"/>
      </w:pPr>
      <w:r>
        <w:rPr>
          <w:rFonts w:ascii="Times New Roman" w:cs="Times New Roman" w:eastAsia="Times New Roman" w:hAnsi="Times New Roman"/>
          <w:sz w:val="26"/>
          <w:szCs w:val="26"/>
        </w:rPr>
        <w:t xml:space="preserve">Phạm vi điều chỉnh 1.</w:t>
      </w:r>
    </w:p>
    <w:p>
      <w:pPr>
        <w:spacing w:after="120" w:line="360"/>
      </w:pPr>
      <w:r>
        <w:rPr>
          <w:rFonts w:ascii="Times New Roman" w:cs="Times New Roman" w:eastAsia="Times New Roman" w:hAnsi="Times New Roman"/>
          <w:sz w:val="26"/>
          <w:szCs w:val="26"/>
        </w:rPr>
        <w:t xml:space="preserve">Thông tư này hướng dẫn về đối tượng, nguyên tắc, lộ trình và phương pháp áp dụng Chuẩn mực Báo cáo Tài chính Quốc tế (IFRS) và Chuẩn mực Báo cáo Tài chính Việt Nam mới (VFRS) trong việc lập và trình bày Báo cáo tài chính (BCTC) hợp nhất và BCTC riêng lẻ của các doanh nghiệp hoạt động tại Việt Nam.</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Việc ghi nhận, xác định nghĩa vụ thuế thu nhập doanh nghiệp và các loại thuế khác thực hiện theo quy định của pháp luật thuế, độc lập với việc lập BCTC theo IFRS/VFRS.</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Đối tượng áp dụng 1.</w:t>
      </w:r>
    </w:p>
    <w:p>
      <w:pPr>
        <w:spacing w:after="120" w:line="360"/>
      </w:pPr>
      <w:r>
        <w:rPr>
          <w:rFonts w:ascii="Times New Roman" w:cs="Times New Roman" w:eastAsia="Times New Roman" w:hAnsi="Times New Roman"/>
          <w:sz w:val="26"/>
          <w:szCs w:val="26"/>
        </w:rPr>
        <w:t xml:space="preserve">Doanh nghiệp bắt buộc áp dụng IFRS/VFRS theo lộ trình quy định tại Điều 4 Thông tư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Doanh nghiệp tự nguyện áp dụng IFRS/VFRS.</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Doanh nghiệp kiểm toán, kiểm toán viên hành nghề thực hiện kiểm toán BCTC lập theo IFRS/VFRS.</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Các cơ quan quản lý nhà nước về tài chính, chứng khoán, bảo hiểm, ngân hàng và các tổ chức, cá nhân có liên quan.</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Giải thích từ ngữ 1.</w:t>
      </w:r>
    </w:p>
    <w:p>
      <w:pPr>
        <w:spacing w:after="120" w:line="360"/>
      </w:pPr>
      <w:r>
        <w:rPr>
          <w:rFonts w:ascii="Times New Roman" w:cs="Times New Roman" w:eastAsia="Times New Roman" w:hAnsi="Times New Roman"/>
          <w:sz w:val="26"/>
          <w:szCs w:val="26"/>
        </w:rPr>
        <w:t xml:space="preserve">IFRS (International Financial Reporting Standards): Là Hệ thống Chuẩn mực Báo cáo Tài chính Quốc tế do Hội đồng Chuẩn mực Kế toán Quốc tế (IASB) ban hành.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VFRS (Vietnam Financial Reporting Standards): Là Hệ thống Chuẩn mực Báo cáo Tài chính Việt Nam được xây dựng trên cơ sở tiếp thu có chọn lọc IFRS phù hợp với điều kiện thực tiễn Việt Nam.</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BCTC chuyển đổi lần đầu: Là BCTC năm đầu tiên doanh nghiệp áp dụng IFRS/VFRS có tuyên bố rõ ràng và không bảo lưu về việc tuân thủ IFRS/VFRS theo quy định tại IFRS 1.</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Giá trị hợp lý (Fair Value): Là mức giá có thể nhận được khi bán một tài sản hoặc mức giá phải trả để chuyển nhượng một khoản nợ phải trả trong một giao dịch có trật tự giữa các bên tham gia thị trường tại ngày đo lường theo quy định của IFRS 13.</w:t>
      </w:r>
    </w:p>
    <w:p>
      <w:pPr>
        <w:spacing w:after="120" w:line="360"/>
      </w:pPr>
      <w:r>
        <w:rPr>
          <w:rFonts w:ascii="Times New Roman" w:cs="Times New Roman" w:eastAsia="Times New Roman" w:hAnsi="Times New Roman"/>
          <w:sz w:val="26"/>
          <w:szCs w:val="26"/>
        </w:rPr>
        <w:t xml:space="preserve">Chương II LỘ TRÌNH VÀ NGUYÊN TẮC ÁP DỤNG IFRS / VFRS Điều 4.</w:t>
      </w:r>
    </w:p>
    <w:p>
      <w:pPr>
        <w:spacing w:after="120" w:line="360"/>
      </w:pPr>
      <w:r>
        <w:rPr>
          <w:rFonts w:ascii="Times New Roman" w:cs="Times New Roman" w:eastAsia="Times New Roman" w:hAnsi="Times New Roman"/>
          <w:sz w:val="26"/>
          <w:szCs w:val="26"/>
        </w:rPr>
        <w:t xml:space="preserve">Lộ trình áp dụng IFRS 1.</w:t>
      </w:r>
    </w:p>
    <w:p>
      <w:pPr>
        <w:spacing w:after="120" w:line="360"/>
      </w:pPr>
      <w:r>
        <w:rPr>
          <w:rFonts w:ascii="Times New Roman" w:cs="Times New Roman" w:eastAsia="Times New Roman" w:hAnsi="Times New Roman"/>
          <w:sz w:val="26"/>
          <w:szCs w:val="26"/>
        </w:rPr>
        <w:t xml:space="preserve">Giai đoạn chuẩn bị (đến hết 30/09/2026): Các doanh nghiệp xây dựng quy chế kế toán nội bộ, đào tạo nhân sự, nâng cấp hệ thống ERP và thu thập dữ liệu giá trị hợp lý.</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Giai đoạn 1 - Bắt buộc áp dụng đối với BCTC hợp nhất từ ngày 01/10/2026: a) Công ty mẹ của các Tập đoàn kinh tế nhà nước quy mô lớn hoặc có các khoản vay được tài trợ bởi các định chế tài chính quốc tế (WB, ADB, IFC); b) Công ty mẹ là công ty niêm yết có vốn hóa thị trường từ 5.000 tỷ đồng trở lên; c) Công ty mẹ có 100% vốn đầu tư trực tiếp nước ngoài (FDI) là công ty con của các Tập đoàn đa quốc gia niêm yết tại các thị trường chứng khoán quốc tế.</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Giai đoạn 2 - Mở rộng áp dụng từ năm tài chính 2028: Áp dụng bắt buộc đối với toàn bộ các công ty đại chúng quy mô lớn, công ty bảo hiểm, công ty chứng khoán và các tổ chức tín dụng.</w:t>
      </w:r>
    </w:p>
    <w:p>
      <w:pPr>
        <w:spacing w:after="120" w:line="360"/>
      </w:pPr>
      <w:r>
        <w:rPr>
          <w:rFonts w:ascii="Times New Roman" w:cs="Times New Roman" w:eastAsia="Times New Roman" w:hAnsi="Times New Roman"/>
          <w:sz w:val="26"/>
          <w:szCs w:val="26"/>
        </w:rPr>
        <w:t xml:space="preserve">Điều 5.</w:t>
      </w:r>
    </w:p>
    <w:p>
      <w:pPr>
        <w:spacing w:after="120" w:line="360"/>
      </w:pPr>
      <w:r>
        <w:rPr>
          <w:rFonts w:ascii="Times New Roman" w:cs="Times New Roman" w:eastAsia="Times New Roman" w:hAnsi="Times New Roman"/>
          <w:sz w:val="26"/>
          <w:szCs w:val="26"/>
        </w:rPr>
        <w:t xml:space="preserve">Nguyên tắc lập BCTC chuyển đổi lần đầu theo IFRS 1 1.</w:t>
      </w:r>
    </w:p>
    <w:p>
      <w:pPr>
        <w:spacing w:after="120" w:line="360"/>
      </w:pPr>
      <w:r>
        <w:rPr>
          <w:rFonts w:ascii="Times New Roman" w:cs="Times New Roman" w:eastAsia="Times New Roman" w:hAnsi="Times New Roman"/>
          <w:sz w:val="26"/>
          <w:szCs w:val="26"/>
        </w:rPr>
        <w:t xml:space="preserve">Doanh nghiệp phải lập Bảng cân đối kế toán mở đầu theo IFRS tại ngày chuyển đổi sang IFRS (là ngày đầu tiên của kỳ kế toán sớm nhất được trình bày thông tin so sánh).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Doanh nghiệp phải áp dụng nhất quán các chính sách kế toán theo IFRS có hiệu lực tại ngày kết thúc kỳ báo cáo IFRS đầu tiên.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Các điều chỉnh phát sinh từ việc chuyển đổi từ VAS sang IFRS tại ngày chuyển đổi được ghi nhận trực tiếp vào Lợi nhuận sau thuế chưa phân phối hoặc các khoản mục thuộc vốn chủ sở hữu thích hợp khác.</w:t>
      </w:r>
    </w:p>
    <w:p>
      <w:pPr>
        <w:spacing w:after="120" w:line="360"/>
      </w:pPr>
      <w:r>
        <w:rPr>
          <w:rFonts w:ascii="Times New Roman" w:cs="Times New Roman" w:eastAsia="Times New Roman" w:hAnsi="Times New Roman"/>
          <w:sz w:val="26"/>
          <w:szCs w:val="26"/>
        </w:rPr>
        <w:t xml:space="preserve">Điều 6.</w:t>
      </w:r>
    </w:p>
    <w:p>
      <w:pPr>
        <w:spacing w:after="120" w:line="360"/>
      </w:pPr>
      <w:r>
        <w:rPr>
          <w:rFonts w:ascii="Times New Roman" w:cs="Times New Roman" w:eastAsia="Times New Roman" w:hAnsi="Times New Roman"/>
          <w:sz w:val="26"/>
          <w:szCs w:val="26"/>
        </w:rPr>
        <w:t xml:space="preserve">Đo lường giá trị hợp lý (IFRS 13) và tổn thất tài sản (IAS 36) 1.</w:t>
      </w:r>
    </w:p>
    <w:p>
      <w:pPr>
        <w:spacing w:after="120" w:line="360"/>
      </w:pPr>
      <w:r>
        <w:rPr>
          <w:rFonts w:ascii="Times New Roman" w:cs="Times New Roman" w:eastAsia="Times New Roman" w:hAnsi="Times New Roman"/>
          <w:sz w:val="26"/>
          <w:szCs w:val="26"/>
        </w:rPr>
        <w:t xml:space="preserve">Việc xác định giá trị hợp lý của bất động sản đầu tư, công cụ tài chính và tài sản vô hình phải dựa trên các thông tin quan sát được trên thị trường hoặc sử dụng mô hình định giá được chấp nhận rộng rãi.</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Doanh nghiệp phải định kỳ đánh giá các dấu hiệu tổn thất tài sản và thực hiện trích lập dự phòng tổn thất tài sản (Impairment test) theo đúng nguyên tắc của IAS 36 ít nhất một lần vào ngày kết thúc năm tài chính.</w:t>
      </w:r>
    </w:p>
    <w:p>
      <w:pPr>
        <w:spacing w:after="120" w:line="360"/>
      </w:pPr>
      <w:r>
        <w:rPr>
          <w:rFonts w:ascii="Times New Roman" w:cs="Times New Roman" w:eastAsia="Times New Roman" w:hAnsi="Times New Roman"/>
          <w:sz w:val="26"/>
          <w:szCs w:val="26"/>
        </w:rPr>
        <w:t xml:space="preserve">Điều 7.</w:t>
      </w:r>
    </w:p>
    <w:p>
      <w:pPr>
        <w:spacing w:after="120" w:line="360"/>
      </w:pPr>
      <w:r>
        <w:rPr>
          <w:rFonts w:ascii="Times New Roman" w:cs="Times New Roman" w:eastAsia="Times New Roman" w:hAnsi="Times New Roman"/>
          <w:sz w:val="26"/>
          <w:szCs w:val="26"/>
        </w:rPr>
        <w:t xml:space="preserve">Thuyết minh và công bố thông tin 1.</w:t>
      </w:r>
    </w:p>
    <w:p>
      <w:pPr>
        <w:spacing w:after="120" w:line="360"/>
      </w:pPr>
      <w:r>
        <w:rPr>
          <w:rFonts w:ascii="Times New Roman" w:cs="Times New Roman" w:eastAsia="Times New Roman" w:hAnsi="Times New Roman"/>
          <w:sz w:val="26"/>
          <w:szCs w:val="26"/>
        </w:rPr>
        <w:t xml:space="preserve">Báo cáo tài chính lập theo IFRS phải có bản thuyết minh chi tiết giải thích rõ ảnh hưởng của việc chuyển đổi từ VAS sang IFRS đối với tình hình tài chính, kết quả hoạt động kinh doanh và lưu chuyển tiền tệ.</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Phải lập bảng đối chiếu vốn chủ sở hữu và kết quả kinh doanh giữa VAS và IFRS tại ngày chuyển đổi và ngày kết thúc kỳ báo cáo so sánh gần nhất.</w:t>
      </w:r>
    </w:p>
    <w:p>
      <w:pPr>
        <w:spacing w:after="120" w:line="360"/>
      </w:pPr>
      <w:r>
        <w:rPr>
          <w:rFonts w:ascii="Times New Roman" w:cs="Times New Roman" w:eastAsia="Times New Roman" w:hAnsi="Times New Roman"/>
          <w:sz w:val="26"/>
          <w:szCs w:val="26"/>
        </w:rPr>
        <w:t xml:space="preserve">Chương III TỔ CHỨC THỰC HIỆN Điều 8.</w:t>
      </w:r>
    </w:p>
    <w:p>
      <w:pPr>
        <w:spacing w:after="120" w:line="360"/>
      </w:pPr>
      <w:r>
        <w:rPr>
          <w:rFonts w:ascii="Times New Roman" w:cs="Times New Roman" w:eastAsia="Times New Roman" w:hAnsi="Times New Roman"/>
          <w:sz w:val="26"/>
          <w:szCs w:val="26"/>
        </w:rPr>
        <w:t xml:space="preserve">Hiệu lực thi hành 1.</w:t>
      </w:r>
    </w:p>
    <w:p>
      <w:pPr>
        <w:spacing w:after="120" w:line="360"/>
      </w:pPr>
      <w:r>
        <w:rPr>
          <w:rFonts w:ascii="Times New Roman" w:cs="Times New Roman" w:eastAsia="Times New Roman" w:hAnsi="Times New Roman"/>
          <w:sz w:val="26"/>
          <w:szCs w:val="26"/>
        </w:rPr>
        <w:t xml:space="preserve">Thông tư này có hiệu lực thi hành kể từ ngày 01 tháng 10 năm 2026.</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Các quy định trước đây trái với quy định tại Thông tư này đều bãi bỏ.</w:t>
      </w:r>
    </w:p>
    <w:p>
      <w:pPr>
        <w:spacing w:after="120" w:line="360"/>
      </w:pPr>
      <w:r>
        <w:rPr>
          <w:rFonts w:ascii="Times New Roman" w:cs="Times New Roman" w:eastAsia="Times New Roman" w:hAnsi="Times New Roman"/>
          <w:sz w:val="26"/>
          <w:szCs w:val="26"/>
        </w:rPr>
        <w:t xml:space="preserve">Điều 9.</w:t>
      </w:r>
    </w:p>
    <w:p>
      <w:pPr>
        <w:spacing w:after="120" w:line="360"/>
      </w:pPr>
      <w:r>
        <w:rPr>
          <w:rFonts w:ascii="Times New Roman" w:cs="Times New Roman" w:eastAsia="Times New Roman" w:hAnsi="Times New Roman"/>
          <w:sz w:val="26"/>
          <w:szCs w:val="26"/>
        </w:rPr>
        <w:t xml:space="preserve">Trách nhiệm thi hành Cục Quản lý, giám sát kế toán, kiểm toán chủ trì, phối hợp với các cơ quan, đơn vị có liên quan hướng dẫn, theo dõi, kiểm tra việc thực hiện Thông tư này.</w:t>
      </w:r>
    </w:p>
    <w:p>
      <w:pPr>
        <w:spacing w:after="120" w:line="360"/>
      </w:pPr>
      <w:r>
        <w:rPr>
          <w:rFonts w:ascii="Times New Roman" w:cs="Times New Roman" w:eastAsia="Times New Roman" w:hAnsi="Times New Roman"/>
          <w:sz w:val="26"/>
          <w:szCs w:val="26"/>
        </w:rPr>
        <w:t xml:space="preserve">BỘ TÀI CHÍNH KT.</w:t>
      </w:r>
    </w:p>
    <w:p>
      <w:pPr>
        <w:spacing w:after="120" w:line="360"/>
      </w:pPr>
      <w:r>
        <w:rPr>
          <w:rFonts w:ascii="Times New Roman" w:cs="Times New Roman" w:eastAsia="Times New Roman" w:hAnsi="Times New Roman"/>
          <w:sz w:val="26"/>
          <w:szCs w:val="26"/>
        </w:rPr>
        <w:t xml:space="preserve">BỘ TRƯỞNG - THỨ TRƯỞNG Nguyễn Đức Chi.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2026-08-31T08:15:52.925Z</dcterms:created>
  <dcterms:modified xsi:type="dcterms:W3CDTF">2026-08-31T08:15:52.925Z</dcterms:modified>
</cp:coreProperties>
</file>

<file path=docProps/custom.xml><?xml version="1.0" encoding="utf-8"?>
<Properties xmlns="http://schemas.openxmlformats.org/officeDocument/2006/custom-properties" xmlns:vt="http://schemas.openxmlformats.org/officeDocument/2006/docPropsVTypes"/>
</file>