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200/2014/TT-BTC hướng dẫn Chế độ Kế toán Doanh nghiệp</w:t>
      </w:r>
    </w:p>
    <w:p>
      <w:pPr>
        <w:spacing w:after="360"/>
        <w:jc w:val="center"/>
      </w:pPr>
      <w:r>
        <w:rPr>
          <w:rFonts w:ascii="Times New Roman" w:cs="Times New Roman" w:eastAsia="Times New Roman" w:hAnsi="Times New Roman"/>
          <w:i/>
          <w:iCs/>
          <w:sz w:val="22"/>
          <w:szCs w:val="22"/>
        </w:rPr>
        <w:t xml:space="preserve">Số hiệu: 200/2014/TT-BTC | Cơ quan ban hành: Bộ Tài chính | Ngày ban hành: 2014-12-22</w:t>
      </w:r>
    </w:p>
    <w:p>
      <w:pPr>
        <w:spacing w:after="120" w:line="360"/>
      </w:pPr>
      <w:r>
        <w:rPr>
          <w:rFonts w:ascii="Times New Roman" w:cs="Times New Roman" w:eastAsia="Times New Roman" w:hAnsi="Times New Roman"/>
          <w:sz w:val="26"/>
          <w:szCs w:val="26"/>
        </w:rPr>
        <w:t xml:space="preserve">BỘ TÀI CHÍNH _______ Số: 200/2014/TT-BTC CỘNG HÒA XÃ HỘI CHỦ NGHĨA VIỆT NAM Độc lập - Tự do - Hạnh phúc __________________________ Hà Nội, ngày 22 tháng 12 năm 2014 THÔNG TƯ Hướng dẫn Chế độ kế toán Doanh nghiệp Căn cứ Luật Kế toán ngày 17 tháng 6 năm 2003; Căn cứ Nghị định số 129/2004/NĐ-CP ngày 31 tháng 5 năm 2004 của Chính phủ quy định chi tiết và hướng dẫn thi hành một số điều của Luật Kế toán; Bộ trưởng Bộ Tài chính ban hành Thông tư hướng dẫn Chế độ kế toán doanh nghiệp.</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Thông tư này hướng dẫn việc ghi sổ kế toán, lập và trình bày Báo cáo tài chính của các doanh nghiệp thuộc mọi lĩnh vực, mọi thành phần kinh tế trong cả nước.</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nghiệp vừa và nhỏ đang thực hiện kế toán theo Chế độ kế toán doanh nghiệp vừa và nhỏ nếu thấy phù hợp với đặc điểm hoạt động kinh doanh thì được lựa chọn áp dụng Thông tư này nhưng phải thông báo cho cơ quan thuế quản lý và phải thực hiện nhất quán trong năm tài chính.</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Nguyên tắc kế toán chung 1.</w:t>
      </w:r>
    </w:p>
    <w:p>
      <w:pPr>
        <w:spacing w:after="120" w:line="360"/>
      </w:pPr>
      <w:r>
        <w:rPr>
          <w:rFonts w:ascii="Times New Roman" w:cs="Times New Roman" w:eastAsia="Times New Roman" w:hAnsi="Times New Roman"/>
          <w:sz w:val="26"/>
          <w:szCs w:val="26"/>
        </w:rPr>
        <w:t xml:space="preserve">Tôn trọng bản chất hơn hình thức : Kế toán phải phản ánh đúng bản chất kinh tế của giao dịch thay vì chỉ chú trọng vào hình thức pháp lý của giao dịch.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sở dồn tích : Mọi nghiệp vụ kinh tế, tài chính liên quan đến tài sản, nợ phải trả, vốn chủ sở hữu, doanh thu, chi phí phải được ghi chép vào sổ kế toán tại thời điểm phát sinh, không căn cứ vào thời điểm thực tế thu hoặc thực tế chi tiền.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Hoạt động liên tục : Báo cáo tài chính phải được lập trên cơ sở giả định là doanh nghiệp đang hoạt động liên tục và sẽ tiếp tục hoạt động trong tương lai gần.</w:t>
      </w:r>
    </w:p>
    <w:p>
      <w:pPr>
        <w:spacing w:after="120" w:line="360"/>
      </w:pPr>
      <w:r>
        <w:rPr>
          <w:rFonts w:ascii="Times New Roman" w:cs="Times New Roman" w:eastAsia="Times New Roman" w:hAnsi="Times New Roman"/>
          <w:sz w:val="26"/>
          <w:szCs w:val="26"/>
        </w:rPr>
        <w:t xml:space="preserve">CHƯƠNG II: HỆ THỐNG TÀI KHOẢN KẾ TOÁN Điều 15.</w:t>
      </w:r>
    </w:p>
    <w:p>
      <w:pPr>
        <w:spacing w:after="120" w:line="360"/>
      </w:pPr>
      <w:r>
        <w:rPr>
          <w:rFonts w:ascii="Times New Roman" w:cs="Times New Roman" w:eastAsia="Times New Roman" w:hAnsi="Times New Roman"/>
          <w:sz w:val="26"/>
          <w:szCs w:val="26"/>
        </w:rPr>
        <w:t xml:space="preserve">Phân loại và kết cấu tài khoản kế toán 1.</w:t>
      </w:r>
    </w:p>
    <w:p>
      <w:pPr>
        <w:spacing w:after="120" w:line="360"/>
      </w:pPr>
      <w:r>
        <w:rPr>
          <w:rFonts w:ascii="Times New Roman" w:cs="Times New Roman" w:eastAsia="Times New Roman" w:hAnsi="Times New Roman"/>
          <w:sz w:val="26"/>
          <w:szCs w:val="26"/>
        </w:rPr>
        <w:t xml:space="preserve">Hệ thống tài khoản kế toán doanh nghiệp áp dụng theo Thông tư 200 gồm 9 loại tài khoản: • Loại 1 và Loại 2 : Tài sản ngắn hạn và Tài sản dài hạn (TK 111 đến TK 244); • Loại 3 và Loại 4 : Nợ phải trả và Vốn chủ sở hữu (TK 331 đến TK 466); • Loại 5 và Loại 6 : Doanh thu và Chi phí sản xuất, kinh doanh (TK 511 đến TK 642); • Loại 7 và Loại 8 : Thu nhập khác và Chi phí khác (TK 711 đến TK 821); • Loại 9 : Xác định kết quả kinh doanh (TK 911).</w:t>
      </w:r>
    </w:p>
    <w:p>
      <w:pPr>
        <w:spacing w:after="120" w:line="360"/>
      </w:pPr>
      <w:r>
        <w:rPr>
          <w:rFonts w:ascii="Times New Roman" w:cs="Times New Roman" w:eastAsia="Times New Roman" w:hAnsi="Times New Roman"/>
          <w:sz w:val="26"/>
          <w:szCs w:val="26"/>
        </w:rPr>
        <w:t xml:space="preserve">CHƯƠNG III: HỆ THỐNG BÁO CÁO TÀI CHÍNH Điều 100.</w:t>
      </w:r>
    </w:p>
    <w:p>
      <w:pPr>
        <w:spacing w:after="120" w:line="360"/>
      </w:pPr>
      <w:r>
        <w:rPr>
          <w:rFonts w:ascii="Times New Roman" w:cs="Times New Roman" w:eastAsia="Times New Roman" w:hAnsi="Times New Roman"/>
          <w:sz w:val="26"/>
          <w:szCs w:val="26"/>
        </w:rPr>
        <w:t xml:space="preserve">Hệ thống Báo cáo tài chính năm của doanh nghiệp 1.</w:t>
      </w:r>
    </w:p>
    <w:p>
      <w:pPr>
        <w:spacing w:after="120" w:line="360"/>
      </w:pPr>
      <w:r>
        <w:rPr>
          <w:rFonts w:ascii="Times New Roman" w:cs="Times New Roman" w:eastAsia="Times New Roman" w:hAnsi="Times New Roman"/>
          <w:sz w:val="26"/>
          <w:szCs w:val="26"/>
        </w:rPr>
        <w:t xml:space="preserve">Hệ thống Báo cáo tài chính năm áp dụng cho các doanh nghiệp gồm: - Bảng cân đối kế toán: Mẫu số B 01 - DN; - Báo cáo kết quả hoạt động kinh doanh: Mẫu số B 02 - DN; - Báo cáo lưu chuyển tiền tệ: Mẫu số B 03 - DN; - Bản thuyết minh Báo cáo tài chính: Mẫu số B 09 - DN.</w:t>
      </w:r>
    </w:p>
    <w:p>
      <w:pPr>
        <w:spacing w:after="120" w:line="360"/>
      </w:pPr>
      <w:r>
        <w:rPr>
          <w:rFonts w:ascii="Times New Roman" w:cs="Times New Roman" w:eastAsia="Times New Roman" w:hAnsi="Times New Roman"/>
          <w:sz w:val="26"/>
          <w:szCs w:val="26"/>
        </w:rPr>
        <w:t xml:space="preserve">CHƯƠNG V: ĐIỀU KHOẢN THI HÀNH Điều 130.</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từ ngày 01 tháng 01 năm 2015 và áp dụng cho năm tài chính bắt đầu từ hoặc sau ngày 01/01/2015.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tư này thay thế Quyết định số 15/2006/QĐ-BTC và Thông tư số 244/2009/TT-BTC của Bộ Tài chính.</w:t>
      </w:r>
    </w:p>
    <w:p>
      <w:pPr>
        <w:spacing w:after="120" w:line="360"/>
      </w:pPr>
      <w:r>
        <w:rPr>
          <w:rFonts w:ascii="Times New Roman" w:cs="Times New Roman" w:eastAsia="Times New Roman" w:hAnsi="Times New Roman"/>
          <w:sz w:val="26"/>
          <w:szCs w:val="26"/>
        </w:rPr>
        <w:t xml:space="preserve">THỨ TRƯỞNG Trần Xuân Hà.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2026-08-31T08:15:54.201Z</dcterms:created>
  <dcterms:modified xsi:type="dcterms:W3CDTF">2026-08-31T08:15:54.201Z</dcterms:modified>
</cp:coreProperties>
</file>

<file path=docProps/custom.xml><?xml version="1.0" encoding="utf-8"?>
<Properties xmlns="http://schemas.openxmlformats.org/officeDocument/2006/custom-properties" xmlns:vt="http://schemas.openxmlformats.org/officeDocument/2006/docPropsVTypes"/>
</file>