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214/2012/TT-BTC ban hành Hệ thống 37 Chuẩn mực kiểm toán Việt Nam (VSA)</w:t>
      </w:r>
    </w:p>
    <w:p>
      <w:pPr>
        <w:spacing w:after="360"/>
        <w:jc w:val="center"/>
      </w:pPr>
      <w:r>
        <w:rPr>
          <w:rFonts w:ascii="Times New Roman" w:cs="Times New Roman" w:eastAsia="Times New Roman" w:hAnsi="Times New Roman"/>
          <w:i/>
          <w:iCs/>
          <w:sz w:val="22"/>
          <w:szCs w:val="22"/>
        </w:rPr>
        <w:t xml:space="preserve">Số hiệu: 214/2012/TT-BTC | Cơ quan ban hành: Bộ Tài chính | Ngày ban hành: 2012-12-06</w:t>
      </w:r>
    </w:p>
    <w:p>
      <w:pPr>
        <w:spacing w:after="120" w:line="360"/>
      </w:pPr>
      <w:r>
        <w:rPr>
          <w:rFonts w:ascii="Times New Roman" w:cs="Times New Roman" w:eastAsia="Times New Roman" w:hAnsi="Times New Roman"/>
          <w:sz w:val="26"/>
          <w:szCs w:val="26"/>
        </w:rPr>
        <w:t xml:space="preserve">BỘ TÀI CHÍNH _______ Số: 214/2012/TT-BTC CỘNG HÒA XÃ HỘI CHỦ NGHĨA VIỆT NAM Độc lập - Tự do - Hạnh phúc __________________________ Hà Nội, ngày 06 tháng 12 năm 2012 THÔNG TƯ Ban hành Hệ thống Chuẩn mực kiểm toán Việt Nam Căn cứ Luật Kiểm toán độc lập ngày 29 tháng 3 năm 2011; Căn cứ Nghị định số 17/2012/NĐ-CP ngày 13 tháng 3 năm 2012 của Chính phủ quy định chi tiết và hướng dẫn thi hành một số điều của Luật Kiểm toán độc lập; Bộ trưởng Bộ Tài chính ban hành Thông tư ban hành Hệ thống Chuẩn mực kiểm toán Việt Nam.</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Ban hành Chuẩn mực Ban hành kèm theo Thông tư này ba mươi bảy (37) Chuẩn mực kiểm toán Việt Nam có số hiệu và tên gọi sau đây: 1.</w:t>
      </w:r>
    </w:p>
    <w:p>
      <w:pPr>
        <w:spacing w:after="120" w:line="360"/>
      </w:pPr>
      <w:r>
        <w:rPr>
          <w:rFonts w:ascii="Times New Roman" w:cs="Times New Roman" w:eastAsia="Times New Roman" w:hAnsi="Times New Roman"/>
          <w:sz w:val="26"/>
          <w:szCs w:val="26"/>
        </w:rPr>
        <w:t xml:space="preserve">VSA 200 - Mục tiêu tổng thể của kiểm toán viên và doanh nghiệp kiểm toán khi thực hiện kiểm toán theo chuẩn mực kiểm toán Việt Nam; 2.</w:t>
      </w:r>
    </w:p>
    <w:p>
      <w:pPr>
        <w:spacing w:after="120" w:line="360"/>
      </w:pPr>
      <w:r>
        <w:rPr>
          <w:rFonts w:ascii="Times New Roman" w:cs="Times New Roman" w:eastAsia="Times New Roman" w:hAnsi="Times New Roman"/>
          <w:sz w:val="26"/>
          <w:szCs w:val="26"/>
        </w:rPr>
        <w:t xml:space="preserve">VSA 210 - Hợp đồng kiểm toán; 3.</w:t>
      </w:r>
    </w:p>
    <w:p>
      <w:pPr>
        <w:spacing w:after="120" w:line="360"/>
      </w:pPr>
      <w:r>
        <w:rPr>
          <w:rFonts w:ascii="Times New Roman" w:cs="Times New Roman" w:eastAsia="Times New Roman" w:hAnsi="Times New Roman"/>
          <w:sz w:val="26"/>
          <w:szCs w:val="26"/>
        </w:rPr>
        <w:t xml:space="preserve">VSA 220 - Kiểm soát chất lượng hoạt động kiểm toán báo cáo tài chính; 4.</w:t>
      </w:r>
    </w:p>
    <w:p>
      <w:pPr>
        <w:spacing w:after="120" w:line="360"/>
      </w:pPr>
      <w:r>
        <w:rPr>
          <w:rFonts w:ascii="Times New Roman" w:cs="Times New Roman" w:eastAsia="Times New Roman" w:hAnsi="Times New Roman"/>
          <w:sz w:val="26"/>
          <w:szCs w:val="26"/>
        </w:rPr>
        <w:t xml:space="preserve">VSA 230 - Tài liệu, hồ sơ kiểm toán; 5.</w:t>
      </w:r>
    </w:p>
    <w:p>
      <w:pPr>
        <w:spacing w:after="120" w:line="360"/>
      </w:pPr>
      <w:r>
        <w:rPr>
          <w:rFonts w:ascii="Times New Roman" w:cs="Times New Roman" w:eastAsia="Times New Roman" w:hAnsi="Times New Roman"/>
          <w:sz w:val="26"/>
          <w:szCs w:val="26"/>
        </w:rPr>
        <w:t xml:space="preserve">VSA 240 - Trách nhiệm của kiểm toán viên liên quan đến gian lận trong quá trình kiểm toán báo cáo tài chính; 6.</w:t>
      </w:r>
    </w:p>
    <w:p>
      <w:pPr>
        <w:spacing w:after="120" w:line="360"/>
      </w:pPr>
      <w:r>
        <w:rPr>
          <w:rFonts w:ascii="Times New Roman" w:cs="Times New Roman" w:eastAsia="Times New Roman" w:hAnsi="Times New Roman"/>
          <w:sz w:val="26"/>
          <w:szCs w:val="26"/>
        </w:rPr>
        <w:t xml:space="preserve">VSA 250 - Xem xét tính tuân thủ pháp luật và các quy định trong kiểm toán báo cáo tài chính; 7.</w:t>
      </w:r>
    </w:p>
    <w:p>
      <w:pPr>
        <w:spacing w:after="120" w:line="360"/>
      </w:pPr>
      <w:r>
        <w:rPr>
          <w:rFonts w:ascii="Times New Roman" w:cs="Times New Roman" w:eastAsia="Times New Roman" w:hAnsi="Times New Roman"/>
          <w:sz w:val="26"/>
          <w:szCs w:val="26"/>
        </w:rPr>
        <w:t xml:space="preserve">VSA 300 - Lập kế hoạch kiểm toán báo cáo tài chính; 8.</w:t>
      </w:r>
    </w:p>
    <w:p>
      <w:pPr>
        <w:spacing w:after="120" w:line="360"/>
      </w:pPr>
      <w:r>
        <w:rPr>
          <w:rFonts w:ascii="Times New Roman" w:cs="Times New Roman" w:eastAsia="Times New Roman" w:hAnsi="Times New Roman"/>
          <w:sz w:val="26"/>
          <w:szCs w:val="26"/>
        </w:rPr>
        <w:t xml:space="preserve">VSA 315 - Xác định và đánh giá rủi ro có sai sót trọng yếu thông qua hiểu biết về đơn vị được kiểm toán và môi trường của đơn vị; 9.</w:t>
      </w:r>
    </w:p>
    <w:p>
      <w:pPr>
        <w:spacing w:after="120" w:line="360"/>
      </w:pPr>
      <w:r>
        <w:rPr>
          <w:rFonts w:ascii="Times New Roman" w:cs="Times New Roman" w:eastAsia="Times New Roman" w:hAnsi="Times New Roman"/>
          <w:sz w:val="26"/>
          <w:szCs w:val="26"/>
        </w:rPr>
        <w:t xml:space="preserve">VSA 320 - Tính trọng yếu trong lập kế hoạch và thực hiện kiểm toán; 10.</w:t>
      </w:r>
    </w:p>
    <w:p>
      <w:pPr>
        <w:spacing w:after="120" w:line="360"/>
      </w:pPr>
      <w:r>
        <w:rPr>
          <w:rFonts w:ascii="Times New Roman" w:cs="Times New Roman" w:eastAsia="Times New Roman" w:hAnsi="Times New Roman"/>
          <w:sz w:val="26"/>
          <w:szCs w:val="26"/>
        </w:rPr>
        <w:t xml:space="preserve">VSA 330 - Biện pháp xử lý của kiểm toán viên đối với rủi ro đã đánh giá; 11.</w:t>
      </w:r>
    </w:p>
    <w:p>
      <w:pPr>
        <w:spacing w:after="120" w:line="360"/>
      </w:pPr>
      <w:r>
        <w:rPr>
          <w:rFonts w:ascii="Times New Roman" w:cs="Times New Roman" w:eastAsia="Times New Roman" w:hAnsi="Times New Roman"/>
          <w:sz w:val="26"/>
          <w:szCs w:val="26"/>
        </w:rPr>
        <w:t xml:space="preserve">VSA 500 - Bằng chứng kiểm toán; 12.</w:t>
      </w:r>
    </w:p>
    <w:p>
      <w:pPr>
        <w:spacing w:after="120" w:line="360"/>
      </w:pPr>
      <w:r>
        <w:rPr>
          <w:rFonts w:ascii="Times New Roman" w:cs="Times New Roman" w:eastAsia="Times New Roman" w:hAnsi="Times New Roman"/>
          <w:sz w:val="26"/>
          <w:szCs w:val="26"/>
        </w:rPr>
        <w:t xml:space="preserve">VSA 505 - Thông tin xác nhận từ bên ngoài; 13.</w:t>
      </w:r>
    </w:p>
    <w:p>
      <w:pPr>
        <w:spacing w:after="120" w:line="360"/>
      </w:pPr>
      <w:r>
        <w:rPr>
          <w:rFonts w:ascii="Times New Roman" w:cs="Times New Roman" w:eastAsia="Times New Roman" w:hAnsi="Times New Roman"/>
          <w:sz w:val="26"/>
          <w:szCs w:val="26"/>
        </w:rPr>
        <w:t xml:space="preserve">VSA 520 - Thủ tục phân tích; 14.</w:t>
      </w:r>
    </w:p>
    <w:p>
      <w:pPr>
        <w:spacing w:after="120" w:line="360"/>
      </w:pPr>
      <w:r>
        <w:rPr>
          <w:rFonts w:ascii="Times New Roman" w:cs="Times New Roman" w:eastAsia="Times New Roman" w:hAnsi="Times New Roman"/>
          <w:sz w:val="26"/>
          <w:szCs w:val="26"/>
        </w:rPr>
        <w:t xml:space="preserve">VSA 530 - Lấy mẫu kiểm toán; 15.</w:t>
      </w:r>
    </w:p>
    <w:p>
      <w:pPr>
        <w:spacing w:after="120" w:line="360"/>
      </w:pPr>
      <w:r>
        <w:rPr>
          <w:rFonts w:ascii="Times New Roman" w:cs="Times New Roman" w:eastAsia="Times New Roman" w:hAnsi="Times New Roman"/>
          <w:sz w:val="26"/>
          <w:szCs w:val="26"/>
        </w:rPr>
        <w:t xml:space="preserve">VSA 540 - Kiểm toán các ước tính kế toán (bao gồm ước tính kế toán về giá trị hợp lý và các thuyết minh liên quan); 16.</w:t>
      </w:r>
    </w:p>
    <w:p>
      <w:pPr>
        <w:spacing w:after="120" w:line="360"/>
      </w:pPr>
      <w:r>
        <w:rPr>
          <w:rFonts w:ascii="Times New Roman" w:cs="Times New Roman" w:eastAsia="Times New Roman" w:hAnsi="Times New Roman"/>
          <w:sz w:val="26"/>
          <w:szCs w:val="26"/>
        </w:rPr>
        <w:t xml:space="preserve">VSA 550 - Các bên liên quan; 17.</w:t>
      </w:r>
    </w:p>
    <w:p>
      <w:pPr>
        <w:spacing w:after="120" w:line="360"/>
      </w:pPr>
      <w:r>
        <w:rPr>
          <w:rFonts w:ascii="Times New Roman" w:cs="Times New Roman" w:eastAsia="Times New Roman" w:hAnsi="Times New Roman"/>
          <w:sz w:val="26"/>
          <w:szCs w:val="26"/>
        </w:rPr>
        <w:t xml:space="preserve">VSA 560 - Các sự kiện phát sinh sau ngày kết thúc kỳ kế toán; 18.</w:t>
      </w:r>
    </w:p>
    <w:p>
      <w:pPr>
        <w:spacing w:after="120" w:line="360"/>
      </w:pPr>
      <w:r>
        <w:rPr>
          <w:rFonts w:ascii="Times New Roman" w:cs="Times New Roman" w:eastAsia="Times New Roman" w:hAnsi="Times New Roman"/>
          <w:sz w:val="26"/>
          <w:szCs w:val="26"/>
        </w:rPr>
        <w:t xml:space="preserve">VSA 570 - Hoạt động liên tục (Going Concern); 19.</w:t>
      </w:r>
    </w:p>
    <w:p>
      <w:pPr>
        <w:spacing w:after="120" w:line="360"/>
      </w:pPr>
      <w:r>
        <w:rPr>
          <w:rFonts w:ascii="Times New Roman" w:cs="Times New Roman" w:eastAsia="Times New Roman" w:hAnsi="Times New Roman"/>
          <w:sz w:val="26"/>
          <w:szCs w:val="26"/>
        </w:rPr>
        <w:t xml:space="preserve">VSA 580 - Giải trình bằng văn bản (Thư giải trình của Ban Giám đốc); 20.</w:t>
      </w:r>
    </w:p>
    <w:p>
      <w:pPr>
        <w:spacing w:after="120" w:line="360"/>
      </w:pPr>
      <w:r>
        <w:rPr>
          <w:rFonts w:ascii="Times New Roman" w:cs="Times New Roman" w:eastAsia="Times New Roman" w:hAnsi="Times New Roman"/>
          <w:sz w:val="26"/>
          <w:szCs w:val="26"/>
        </w:rPr>
        <w:t xml:space="preserve">VSA 700 - Hình thành ý kiến kiểm toán và báo cáo kiểm toán về báo cáo tài chính; 21.</w:t>
      </w:r>
    </w:p>
    <w:p>
      <w:pPr>
        <w:spacing w:after="120" w:line="360"/>
      </w:pPr>
      <w:r>
        <w:rPr>
          <w:rFonts w:ascii="Times New Roman" w:cs="Times New Roman" w:eastAsia="Times New Roman" w:hAnsi="Times New Roman"/>
          <w:sz w:val="26"/>
          <w:szCs w:val="26"/>
        </w:rPr>
        <w:t xml:space="preserve">VSA 705 - Ý kiến kiểm toán không phải là ý kiến chấp nhận toàn phần (Ngoại trừ, Trái ngược, Từ chối); 22.</w:t>
      </w:r>
    </w:p>
    <w:p>
      <w:pPr>
        <w:spacing w:after="120" w:line="360"/>
      </w:pPr>
      <w:r>
        <w:rPr>
          <w:rFonts w:ascii="Times New Roman" w:cs="Times New Roman" w:eastAsia="Times New Roman" w:hAnsi="Times New Roman"/>
          <w:sz w:val="26"/>
          <w:szCs w:val="26"/>
        </w:rPr>
        <w:t xml:space="preserve">VSA 706 - Đoạn “Vấn đề cần nhấn mạnh” và “Vấn đề khác” trong báo cáo kiểm toán.</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Thông tư này có hiệu lực thi hành kể từ ngày 01 tháng 01 năm 2014 và áp dụng cho việc kiểm toán báo cáo tài chính cho các năm tài chính bắt đầu từ hoặc sau ngày 01 tháng 01 năm 2013.</w:t>
      </w:r>
    </w:p>
    <w:p>
      <w:pPr>
        <w:spacing w:after="120" w:line="360"/>
      </w:pPr>
      <w:r>
        <w:rPr>
          <w:rFonts w:ascii="Times New Roman" w:cs="Times New Roman" w:eastAsia="Times New Roman" w:hAnsi="Times New Roman"/>
          <w:sz w:val="26"/>
          <w:szCs w:val="26"/>
        </w:rPr>
        <w:t xml:space="preserve">THỨ TRƯỞNG Trần Xuân Hà.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2026-08-31T08:15:54.191Z</dcterms:created>
  <dcterms:modified xsi:type="dcterms:W3CDTF">2026-08-31T08:15:54.191Z</dcterms:modified>
</cp:coreProperties>
</file>

<file path=docProps/custom.xml><?xml version="1.0" encoding="utf-8"?>
<Properties xmlns="http://schemas.openxmlformats.org/officeDocument/2006/custom-properties" xmlns:vt="http://schemas.openxmlformats.org/officeDocument/2006/docPropsVTypes"/>
</file>