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Thông tư 42/2026/TT-BTC hướng dẫn thi hành một số điều của Luật Thuế Thu nhập cá nhân 2025 và Nghị định 253/2026/NĐ-CP</w:t>
      </w:r>
    </w:p>
    <w:p>
      <w:pPr>
        <w:spacing w:after="360"/>
        <w:jc w:val="center"/>
      </w:pPr>
      <w:r>
        <w:rPr>
          <w:rFonts w:ascii="Times New Roman" w:cs="Times New Roman" w:eastAsia="Times New Roman" w:hAnsi="Times New Roman"/>
          <w:i/>
          <w:iCs/>
          <w:sz w:val="22"/>
          <w:szCs w:val="22"/>
        </w:rPr>
        <w:t xml:space="preserve">Số hiệu: 42/2026/TT-BTC | Cơ quan ban hành: Bộ Tài chính | Ngày ban hành: 2026-04-25</w:t>
      </w:r>
    </w:p>
    <w:p>
      <w:pPr>
        <w:spacing w:after="120" w:line="360"/>
      </w:pPr>
      <w:r>
        <w:rPr>
          <w:rFonts w:ascii="Times New Roman" w:cs="Times New Roman" w:eastAsia="Times New Roman" w:hAnsi="Times New Roman"/>
          <w:sz w:val="26"/>
          <w:szCs w:val="26"/>
        </w:rPr>
        <w:t xml:space="preserve">BỘ TÀI CHÍNH _______ Số: 42/2026/TT-BTC CỘNG HÒA XÃ HỘI CHỦ NGHĨA VIỆT NAM Độc lập - Tự do - Hạnh phúc __________________________ Hà Nội, ngày 25 tháng 4 năm 2026 THÔNG TƯ Hướng dẫn thi hành một số điều của Luật Thuế Thu nhập cá nhân số 109/2025/QH15 và Nghị định số 253/2026/NĐ-CP của Chính phủ Căn cứ Luật Quản lý thuế số 38/2019/QH14; Căn cứ Luật Thuế thu nhập cá nhân số 109/2025/QH15; Căn cứ Nghị định số 253/2026/NĐ-CP ngày 30 tháng 6 năm 2026 của Chính phủ quy định chi tiết thi hành Luật Thuế Thu nhập cá nhân 2025; Theo đề nghị của Cục trưởng Cục Quản lý, giám sát chính sách thuế, phí và lệ phí; Bộ trưởng Bộ Tài chính ban hành Thông tư hướng dẫn thực hiện chính sách thuế thu nhập cá nhân.</w:t>
      </w:r>
    </w:p>
    <w:p>
      <w:pPr>
        <w:spacing w:after="120" w:line="360"/>
      </w:pPr>
      <w:r>
        <w:rPr>
          <w:rFonts w:ascii="Times New Roman" w:cs="Times New Roman" w:eastAsia="Times New Roman" w:hAnsi="Times New Roman"/>
          <w:sz w:val="26"/>
          <w:szCs w:val="26"/>
        </w:rPr>
        <w:t xml:space="preserve">Chương I QUY ĐỊNH CHUNG Điều 1.</w:t>
      </w:r>
    </w:p>
    <w:p>
      <w:pPr>
        <w:spacing w:after="120" w:line="360"/>
      </w:pPr>
      <w:r>
        <w:rPr>
          <w:rFonts w:ascii="Times New Roman" w:cs="Times New Roman" w:eastAsia="Times New Roman" w:hAnsi="Times New Roman"/>
          <w:sz w:val="26"/>
          <w:szCs w:val="26"/>
        </w:rPr>
        <w:t xml:space="preserve">Phạm vi điều chỉnh và đối tượng áp dụng 1.</w:t>
      </w:r>
    </w:p>
    <w:p>
      <w:pPr>
        <w:spacing w:after="120" w:line="360"/>
      </w:pPr>
      <w:r>
        <w:rPr>
          <w:rFonts w:ascii="Times New Roman" w:cs="Times New Roman" w:eastAsia="Times New Roman" w:hAnsi="Times New Roman"/>
          <w:sz w:val="26"/>
          <w:szCs w:val="26"/>
        </w:rPr>
        <w:t xml:space="preserve">Thông tư này hướng dẫn về người nộp thuế, thu nhập chịu thuế, thu nhập được miễn thuế, giảm thuế, căn cứ tính thuế và thủ tục khai thuế, khấu trừ thuế, quyết toán thuế thu nhập cá nhân.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Áp dụng đối với cá nhân cư trú và cá nhân không cư trú có thu nhập phát sinh tại Việt Nam và thu nhập phát sinh ngoài lãnh thổ Việt Nam theo quy định.</w:t>
      </w:r>
    </w:p>
    <w:p>
      <w:pPr>
        <w:spacing w:after="120" w:line="360"/>
      </w:pPr>
      <w:r>
        <w:rPr>
          <w:rFonts w:ascii="Times New Roman" w:cs="Times New Roman" w:eastAsia="Times New Roman" w:hAnsi="Times New Roman"/>
          <w:sz w:val="26"/>
          <w:szCs w:val="26"/>
        </w:rPr>
        <w:t xml:space="preserve">Chương II THU NHẬP ĐƯỢC MIỄN THUẾ VÀ CĂN CỨ TÍNH THUẾ Điều 2.</w:t>
      </w:r>
    </w:p>
    <w:p>
      <w:pPr>
        <w:spacing w:after="120" w:line="360"/>
      </w:pPr>
      <w:r>
        <w:rPr>
          <w:rFonts w:ascii="Times New Roman" w:cs="Times New Roman" w:eastAsia="Times New Roman" w:hAnsi="Times New Roman"/>
          <w:sz w:val="26"/>
          <w:szCs w:val="26"/>
        </w:rPr>
        <w:t xml:space="preserve">Miễn thuế đối với tiền lương làm thêm giờ (tăng ca), làm việc ban đêm 1.</w:t>
      </w:r>
    </w:p>
    <w:p>
      <w:pPr>
        <w:spacing w:after="120" w:line="360"/>
      </w:pPr>
      <w:r>
        <w:rPr>
          <w:rFonts w:ascii="Times New Roman" w:cs="Times New Roman" w:eastAsia="Times New Roman" w:hAnsi="Times New Roman"/>
          <w:sz w:val="26"/>
          <w:szCs w:val="26"/>
        </w:rPr>
        <w:t xml:space="preserve">Căn cứ quy định tại Luật Thuế thu nhập cá nhân 2025 và Nghị định số 253/2026/NĐ-CP, toàn bộ khoản tiền lương làm thêm giờ (tăng ca), tiền lương làm việc ban đêm mà người lao động được người sử dụng lao động chi trả theo quy định của Bộ luật Lao động là thu nhập được miễn 100% thuế thu nhập cá nhân kể từ kỳ tính thuế năm 2026.</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Hồ sơ xác định khoản thu nhập làm thêm giờ được miễn thuế bao gồm: a) Văn bản thỏa thuận làm thêm giờ hoặc phiếu đăng ký/kế hoạch tăng ca có xác nhận của người sử dụng lao động và người lao động (bản giấy hoặc dữ liệu điện tử); b) Dữ liệu chấm công làm thêm giờ thực tế trích xuất từ hệ thống chấm công của đơn vị; c) Bảng thanh toán tiền lương thể hiện riêng biệt số tiền lương làm trong giờ tiêu chuẩn và số tiền lương làm thêm giờ, làm đêm.</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Biểu thuế lũy tiến từng phần rút gọn 5 bậc Biểu thuế lũy tiến từng phần áp dụng đối với thu nhập tính thuế từ tiền lương, tiền công được quy định như sau: Bậc thuế Phần thu nhập tính thuế/tháng Thuế suất Bậc 1 Đến 10 triệu đồng 5% Bậc 2 Trên 10 triệu đồng đến 30 triệu đồng 10% Bậc 3 Trên 30 triệu đồng đến 60 triệu đồng 18% Bậc 4 Trên 60 triệu đồng đến 100 triệu đồng 28% Bậc 5 Trên 100 triệu đồng 35% Điều 4.</w:t>
      </w:r>
    </w:p>
    <w:p>
      <w:pPr>
        <w:spacing w:after="120" w:line="360"/>
      </w:pPr>
      <w:r>
        <w:rPr>
          <w:rFonts w:ascii="Times New Roman" w:cs="Times New Roman" w:eastAsia="Times New Roman" w:hAnsi="Times New Roman"/>
          <w:sz w:val="26"/>
          <w:szCs w:val="26"/>
        </w:rPr>
        <w:t xml:space="preserve">Kê khai, quyết toán thuế điện tử qua VNeID 1.</w:t>
      </w:r>
    </w:p>
    <w:p>
      <w:pPr>
        <w:spacing w:after="120" w:line="360"/>
      </w:pPr>
      <w:r>
        <w:rPr>
          <w:rFonts w:ascii="Times New Roman" w:cs="Times New Roman" w:eastAsia="Times New Roman" w:hAnsi="Times New Roman"/>
          <w:sz w:val="26"/>
          <w:szCs w:val="26"/>
        </w:rPr>
        <w:t xml:space="preserve">Cá nhân có thể thực hiện ủy quyền quyết toán thuế hoặc nộp hồ sơ quyết toán thuế TNCN trực tuyến thông qua ứng dụng định danh quốc gia VNeID mức độ 2 kết nối Cổng Dịch vụ công Quốc gia.</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Cơ quan thuế tự động tổng hợp dữ liệu thu nhập, khấu trừ từ các tổ chức chi trả để tạo sẵn tờ khai quyết toán gợi ý cho người nộp thuế xác nhận.</w:t>
      </w:r>
    </w:p>
    <w:p>
      <w:pPr>
        <w:spacing w:after="120" w:line="360"/>
      </w:pPr>
      <w:r>
        <w:rPr>
          <w:rFonts w:ascii="Times New Roman" w:cs="Times New Roman" w:eastAsia="Times New Roman" w:hAnsi="Times New Roman"/>
          <w:sz w:val="26"/>
          <w:szCs w:val="26"/>
        </w:rPr>
        <w:t xml:space="preserve">Chương III HIỆU LỰC THI HÀNH Điều 5.</w:t>
      </w:r>
    </w:p>
    <w:p>
      <w:pPr>
        <w:spacing w:after="120" w:line="360"/>
      </w:pPr>
      <w:r>
        <w:rPr>
          <w:rFonts w:ascii="Times New Roman" w:cs="Times New Roman" w:eastAsia="Times New Roman" w:hAnsi="Times New Roman"/>
          <w:sz w:val="26"/>
          <w:szCs w:val="26"/>
        </w:rPr>
        <w:t xml:space="preserve">Hiệu lực thi hành Thông tư này có hiệu lực thi hành kể từ ngày 01 tháng 6 năm 2026 và áp dụng cho kỳ tính thuế năm 2026.</w:t>
      </w:r>
    </w:p>
    <w:p>
      <w:pPr>
        <w:spacing w:after="120" w:line="360"/>
      </w:pPr>
      <w:r>
        <w:rPr>
          <w:rFonts w:ascii="Times New Roman" w:cs="Times New Roman" w:eastAsia="Times New Roman" w:hAnsi="Times New Roman"/>
          <w:sz w:val="26"/>
          <w:szCs w:val="26"/>
        </w:rPr>
        <w:t xml:space="preserve">BỘ TÀI CHÍNH KT.</w:t>
      </w:r>
    </w:p>
    <w:p>
      <w:pPr>
        <w:spacing w:after="120" w:line="360"/>
      </w:pPr>
      <w:r>
        <w:rPr>
          <w:rFonts w:ascii="Times New Roman" w:cs="Times New Roman" w:eastAsia="Times New Roman" w:hAnsi="Times New Roman"/>
          <w:sz w:val="26"/>
          <w:szCs w:val="26"/>
        </w:rPr>
        <w:t xml:space="preserve">BỘ TRƯỞNG - THỨ TRƯỞNG Cao Anh Tuấn.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2026-08-31T08:15:52.859Z</dcterms:created>
  <dcterms:modified xsi:type="dcterms:W3CDTF">2026-08-31T08:15:52.860Z</dcterms:modified>
</cp:coreProperties>
</file>

<file path=docProps/custom.xml><?xml version="1.0" encoding="utf-8"?>
<Properties xmlns="http://schemas.openxmlformats.org/officeDocument/2006/custom-properties" xmlns:vt="http://schemas.openxmlformats.org/officeDocument/2006/docPropsVTypes"/>
</file>