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45/2013/TT-BTC hướng dẫn Chế độ quản lý, sử dụng và trích khấu hao Tài sản cố định</w:t>
      </w:r>
    </w:p>
    <w:p>
      <w:pPr>
        <w:spacing w:after="360"/>
        <w:jc w:val="center"/>
      </w:pPr>
      <w:r>
        <w:rPr>
          <w:rFonts w:ascii="Times New Roman" w:cs="Times New Roman" w:eastAsia="Times New Roman" w:hAnsi="Times New Roman"/>
          <w:i/>
          <w:iCs/>
          <w:sz w:val="22"/>
          <w:szCs w:val="22"/>
        </w:rPr>
        <w:t xml:space="preserve">Số hiệu: 45/2013/TT-BTC | Cơ quan ban hành: Bộ Tài chính | Ngày ban hành: 2013-04-25</w:t>
      </w:r>
    </w:p>
    <w:p>
      <w:pPr>
        <w:spacing w:after="120" w:line="360"/>
      </w:pPr>
      <w:r>
        <w:rPr>
          <w:rFonts w:ascii="Times New Roman" w:cs="Times New Roman" w:eastAsia="Times New Roman" w:hAnsi="Times New Roman"/>
          <w:sz w:val="26"/>
          <w:szCs w:val="26"/>
        </w:rPr>
        <w:t xml:space="preserve">BỘ TÀI CHÍNH _______ Số: 45/2013/TT-BTC CỘNG HÒA XÃ HỘI CHỦ NGHĨA VIỆT NAM Độc lập - Tự do - Hạnh phúc __________________________ Hà Nội, ngày 25 tháng 04 năm 2013 THÔNG TƯ Hướng dẫn chế độ quản lý, sử dụng và trích khấu hao tài sản cố định Căn cứ Luật Kế toán và Luật Thuế Thu nhập doanh nghiệp; Bộ trưởng Bộ Tài chính ban hành Thông tư hướng dẫn chế độ quản lý, sử dụng và trích khấu hao tài sản cố định.</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Tiêu chuẩn và nhận biết tài sản cố định 1.</w:t>
      </w:r>
    </w:p>
    <w:p>
      <w:pPr>
        <w:spacing w:after="120" w:line="360"/>
      </w:pPr>
      <w:r>
        <w:rPr>
          <w:rFonts w:ascii="Times New Roman" w:cs="Times New Roman" w:eastAsia="Times New Roman" w:hAnsi="Times New Roman"/>
          <w:sz w:val="26"/>
          <w:szCs w:val="26"/>
        </w:rPr>
        <w:t xml:space="preserve">Tư liệu lao động là những tài sản hữu hình có kết cấu độc lập, hoặc là một hệ thống gồm nhiều bộ phận tài sản riêng lẻ liên kết với nhau để cùng thực hiện một hay một số chức năng nhất định mà nếu thiếu bất kỳ một bộ phận nào thì cả hệ thống không thể hoạt động được, nếu thỏa mãn đồng thời cả ba tiêu chuẩn dưới đây thì được coi là tài sản cố định: a) Chắc chắn thu được lợi ích kinh tế trong tương lai từ việc sử dụng tài sản đó; b) Có thời gian sử dụng trên 01 năm trở lên; c) Nguyên giá tài sản phải được xác định một cách tin cậy và có giá trị từ 30.000.000 đồng (Ba mươi triệu đồng)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một hệ thống gồm nhiều bộ phận tài sản riêng lẻ liên kết với nhau, trong đó mỗi bộ phận cấu thành có thời gian sử dụng khác nhau và nếu thiếu một bộ phận nào đó mà cả hệ thống vẫn thực hiện được chức năng hoạt động chính của nó nhưng do yêu cầu quản lý, sử dụng tài sản cố định đòi hỏi phải quản lý riêng từng bộ phận tài sản thì mỗi bộ phận tài sản đó nếu thỏa mãn đồng thời ba tiêu chuẩn của tài sản cố định được coi là một tài sản cố định hữu hình độc lập.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những tư liệu lao động không thỏa mãn đủ 3 tiêu chuẩn trên thì được coi là công cụ, dụng cụ và được phân bổ dần vào chi phí sản xuất kinh doanh trong kỳ với thời gian phân bổ tối đa không quá 03 năm theo quy định tại Thông tư 96/2015/TT-BTC.</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Nguyên tắc trích khấu hao tài sản cố định 1.</w:t>
      </w:r>
    </w:p>
    <w:p>
      <w:pPr>
        <w:spacing w:after="120" w:line="360"/>
      </w:pPr>
      <w:r>
        <w:rPr>
          <w:rFonts w:ascii="Times New Roman" w:cs="Times New Roman" w:eastAsia="Times New Roman" w:hAnsi="Times New Roman"/>
          <w:sz w:val="26"/>
          <w:szCs w:val="26"/>
        </w:rPr>
        <w:t xml:space="preserve">Tất cả TSCĐ hiện có của doanh nghiệp đều phải trích khấu hao, trừ những TSCĐ sau đây: - TSCĐ đã khấu hao hết giá trị nhưng vẫn đang sử dụng vào hoạt động sản xuất kinh doanh; - TSCĐ khấu hao chưa hết bị mất, bị hư hỏng; - TSCĐ khác do doanh nghiệp quản lý mà không thuộc quyền sở hữu của doanh nghiệp (trừ TSCĐ thuê tài chính); - TSCĐ không được quản lý, theo dõi, hạch toán trong sổ sách kế toán của doanh nghiệp; - TSCĐ sử dụng trong các hoạt động phúc lợi phục vụ người lao động của doanh nghiệp.</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Phương pháp trích khấu hao tài sản cố định 1.</w:t>
      </w:r>
    </w:p>
    <w:p>
      <w:pPr>
        <w:spacing w:after="120" w:line="360"/>
      </w:pPr>
      <w:r>
        <w:rPr>
          <w:rFonts w:ascii="Times New Roman" w:cs="Times New Roman" w:eastAsia="Times New Roman" w:hAnsi="Times New Roman"/>
          <w:sz w:val="26"/>
          <w:szCs w:val="26"/>
        </w:rPr>
        <w:t xml:space="preserve">Phương pháp khấu hao đường thẳng (Linear depreciation method).</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Phương pháp khấu hao theo số dư giảm dần có điều chỉnh.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khấu hao theo số lượng, khối lượng sản phẩm.</w:t>
      </w:r>
    </w:p>
    <w:p>
      <w:pPr>
        <w:spacing w:after="120" w:line="360"/>
      </w:pPr>
      <w:r>
        <w:rPr>
          <w:rFonts w:ascii="Times New Roman" w:cs="Times New Roman" w:eastAsia="Times New Roman" w:hAnsi="Times New Roman"/>
          <w:sz w:val="26"/>
          <w:szCs w:val="26"/>
        </w:rPr>
        <w:t xml:space="preserve">Doanh nghiệp tự quyết định phương pháp trích khấu hao, thời gian trích khấu hao TSCĐ theo quy định tại Thông tư này và thông báo với cơ quan thuế trực tiếp quản lý trước khi thực hiện.</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Hiệu lực thi hành Thông tư này có hiệu lực thi hành kể từ ngày 10 tháng 06 năm 2013 và áp dụng từ năm tài chính 2013.</w:t>
      </w:r>
    </w:p>
    <w:p>
      <w:pPr>
        <w:spacing w:after="120" w:line="360"/>
      </w:pPr>
      <w:r>
        <w:rPr>
          <w:rFonts w:ascii="Times New Roman" w:cs="Times New Roman" w:eastAsia="Times New Roman" w:hAnsi="Times New Roman"/>
          <w:sz w:val="26"/>
          <w:szCs w:val="26"/>
        </w:rPr>
        <w:t xml:space="preserve">THỨ TRƯỞNG Trần Xuân Hà.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2026-08-31T08:15:54.211Z</dcterms:created>
  <dcterms:modified xsi:type="dcterms:W3CDTF">2026-08-31T08:15:54.211Z</dcterms:modified>
</cp:coreProperties>
</file>

<file path=docProps/custom.xml><?xml version="1.0" encoding="utf-8"?>
<Properties xmlns="http://schemas.openxmlformats.org/officeDocument/2006/custom-properties" xmlns:vt="http://schemas.openxmlformats.org/officeDocument/2006/docPropsVTypes"/>
</file>