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48/2019/TT-BTC hướng dẫn việc trích lập và xử lý các khoản dự phòng</w:t>
      </w:r>
    </w:p>
    <w:p>
      <w:pPr>
        <w:spacing w:after="360"/>
        <w:jc w:val="center"/>
      </w:pPr>
      <w:r>
        <w:rPr>
          <w:rFonts w:ascii="Times New Roman" w:cs="Times New Roman" w:eastAsia="Times New Roman" w:hAnsi="Times New Roman"/>
          <w:i/>
          <w:iCs/>
          <w:sz w:val="22"/>
          <w:szCs w:val="22"/>
        </w:rPr>
        <w:t xml:space="preserve">Số hiệu: 48/2019/TT-BTC | Cơ quan ban hành: Bộ Tài chính | Ngày ban hành: 2019-08-08</w:t>
      </w:r>
    </w:p>
    <w:p>
      <w:pPr>
        <w:spacing w:after="120" w:line="360"/>
      </w:pPr>
      <w:r>
        <w:rPr>
          <w:rFonts w:ascii="Times New Roman" w:cs="Times New Roman" w:eastAsia="Times New Roman" w:hAnsi="Times New Roman"/>
          <w:sz w:val="26"/>
          <w:szCs w:val="26"/>
        </w:rPr>
        <w:t xml:space="preserve">BỘ TÀI CHÍNH _______ Số: 48/2019/TT-BTC CỘNG HÒA XÃ HỘI CHỦ NGHĨA VIỆT NAM Độc lập - Tự do - Hạnh phúc __________________________ Hà Nội, ngày 08 tháng 08 năm 2019 THÔNG TƯ Hướng dẫn việc trích lập và xử lý các khoản dự phòng giảm giá hàng tồn kho, tổn thất các khoản đầu tư, nợ phải thu khó đòi và bảo hành sản phẩm, hàng hóa, dịch vụ, công trình xây dựng tại doanh nghiệp Căn cứ Luật Thuế Thu nhập doanh nghiệp và Luật Kế toán; Bộ trưởng Bộ Tài chính ban hành Thông tư hướng dẫn trích lập và xử lý các khoản dự phòng.</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Dự phòng giảm giá hàng tồn kho 1.</w:t>
      </w:r>
    </w:p>
    <w:p>
      <w:pPr>
        <w:spacing w:after="120" w:line="360"/>
      </w:pPr>
      <w:r>
        <w:rPr>
          <w:rFonts w:ascii="Times New Roman" w:cs="Times New Roman" w:eastAsia="Times New Roman" w:hAnsi="Times New Roman"/>
          <w:sz w:val="26"/>
          <w:szCs w:val="26"/>
        </w:rPr>
        <w:t xml:space="preserve">Đối tượng lập dự phòng là nguyên liệu, vật liệu, công cụ, dụng cụ, hàng hóa, hàng mua đang đi trên đường, hàng gửi đi bán, hàng hóa kho bảo thuế, thành phẩm mà giá gốc ghi trên sổ kế toán cao hơn giá trị thuần có thể thực hiện được (NRV).</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Mức trích lập dự phòng tính theo công thức: Mức trích lập = Lượng hàng tồn kho giảm giá × (Giá gốc ghi sổ - Giá trị thuần có thể thực hiện được) Điều 6.</w:t>
      </w:r>
    </w:p>
    <w:p>
      <w:pPr>
        <w:spacing w:after="120" w:line="360"/>
      </w:pPr>
      <w:r>
        <w:rPr>
          <w:rFonts w:ascii="Times New Roman" w:cs="Times New Roman" w:eastAsia="Times New Roman" w:hAnsi="Times New Roman"/>
          <w:sz w:val="26"/>
          <w:szCs w:val="26"/>
        </w:rPr>
        <w:t xml:space="preserve">Dự phòng nợ phải thu khó đòi 1.</w:t>
      </w:r>
    </w:p>
    <w:p>
      <w:pPr>
        <w:spacing w:after="120" w:line="360"/>
      </w:pPr>
      <w:r>
        <w:rPr>
          <w:rFonts w:ascii="Times New Roman" w:cs="Times New Roman" w:eastAsia="Times New Roman" w:hAnsi="Times New Roman"/>
          <w:sz w:val="26"/>
          <w:szCs w:val="26"/>
        </w:rPr>
        <w:t xml:space="preserve">Đối tượng lập dự phòng là các khoản nợ phải thu đã quá hạn thanh toán và các khoản nợ phải thu chưa đến hạn thanh toán nhưng có khả năng doanh nghiệp không thu hồi được nợ do khách nợ bị phá sản, giải thể, mất tích, bỏ trốn.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Mức trích lập dự phòng nợ phải thu quá hạn thanh toán: a) 30% giá trị đối với khoản nợ phải thu quá hạn từ 06 tháng đến dưới 01 năm.</w:t>
      </w:r>
    </w:p>
    <w:p>
      <w:pPr>
        <w:spacing w:after="120" w:line="360"/>
      </w:pPr>
      <w:r>
        <w:rPr>
          <w:rFonts w:ascii="Times New Roman" w:cs="Times New Roman" w:eastAsia="Times New Roman" w:hAnsi="Times New Roman"/>
          <w:sz w:val="26"/>
          <w:szCs w:val="26"/>
        </w:rPr>
        <w:t xml:space="preserve">b) 50% giá trị đối với khoản nợ phải thu quá hạn từ 01 năm đến dưới 02 năm.</w:t>
      </w:r>
    </w:p>
    <w:p>
      <w:pPr>
        <w:spacing w:after="120" w:line="360"/>
      </w:pPr>
      <w:r>
        <w:rPr>
          <w:rFonts w:ascii="Times New Roman" w:cs="Times New Roman" w:eastAsia="Times New Roman" w:hAnsi="Times New Roman"/>
          <w:sz w:val="26"/>
          <w:szCs w:val="26"/>
        </w:rPr>
        <w:t xml:space="preserve">c) 70% giá trị đối với khoản nợ phải thu quá hạn từ 02 năm đến dưới 03 năm.</w:t>
      </w:r>
    </w:p>
    <w:p>
      <w:pPr>
        <w:spacing w:after="120" w:line="360"/>
      </w:pPr>
      <w:r>
        <w:rPr>
          <w:rFonts w:ascii="Times New Roman" w:cs="Times New Roman" w:eastAsia="Times New Roman" w:hAnsi="Times New Roman"/>
          <w:sz w:val="26"/>
          <w:szCs w:val="26"/>
        </w:rPr>
        <w:t xml:space="preserve">d) 100% giá trị đối với khoản nợ phải thu quá hạn từ 03 năm trở lên.</w:t>
      </w:r>
    </w:p>
    <w:p>
      <w:pPr>
        <w:spacing w:after="120" w:line="360"/>
      </w:pPr>
      <w:r>
        <w:rPr>
          <w:rFonts w:ascii="Times New Roman" w:cs="Times New Roman" w:eastAsia="Times New Roman" w:hAnsi="Times New Roman"/>
          <w:sz w:val="26"/>
          <w:szCs w:val="26"/>
        </w:rPr>
        <w:t xml:space="preserve">Điều 8.</w:t>
      </w:r>
    </w:p>
    <w:p>
      <w:pPr>
        <w:spacing w:after="120" w:line="360"/>
      </w:pPr>
      <w:r>
        <w:rPr>
          <w:rFonts w:ascii="Times New Roman" w:cs="Times New Roman" w:eastAsia="Times New Roman" w:hAnsi="Times New Roman"/>
          <w:sz w:val="26"/>
          <w:szCs w:val="26"/>
        </w:rPr>
        <w:t xml:space="preserve">Hiệu lực thi hành Thông tư này có hiệu lực thi hành kể từ ngày 10 tháng 10 năm 2019 và áp dụng từ năm tài chính 2019, thay thế Thông tư số 228/2009/TT-BTC.</w:t>
      </w:r>
    </w:p>
    <w:p>
      <w:pPr>
        <w:spacing w:after="120" w:line="360"/>
      </w:pPr>
      <w:r>
        <w:rPr>
          <w:rFonts w:ascii="Times New Roman" w:cs="Times New Roman" w:eastAsia="Times New Roman" w:hAnsi="Times New Roman"/>
          <w:sz w:val="26"/>
          <w:szCs w:val="26"/>
        </w:rPr>
        <w:t xml:space="preserve">THỨ TRƯỞNG Huỳnh Quang Hải.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2026-08-31T08:15:54.222Z</dcterms:created>
  <dcterms:modified xsi:type="dcterms:W3CDTF">2026-08-31T08:15:54.222Z</dcterms:modified>
</cp:coreProperties>
</file>

<file path=docProps/custom.xml><?xml version="1.0" encoding="utf-8"?>
<Properties xmlns="http://schemas.openxmlformats.org/officeDocument/2006/custom-properties" xmlns:vt="http://schemas.openxmlformats.org/officeDocument/2006/docPropsVTypes"/>
</file>