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96/2015/TT-BTC hướng dẫn về Thuế Thu nhập doanh nghiệp và chi phí được trừ</w:t>
      </w:r>
    </w:p>
    <w:p>
      <w:pPr>
        <w:spacing w:after="360"/>
        <w:jc w:val="center"/>
      </w:pPr>
      <w:r>
        <w:rPr>
          <w:rFonts w:ascii="Times New Roman" w:cs="Times New Roman" w:eastAsia="Times New Roman" w:hAnsi="Times New Roman"/>
          <w:i/>
          <w:iCs/>
          <w:sz w:val="22"/>
          <w:szCs w:val="22"/>
        </w:rPr>
        <w:t xml:space="preserve">Số hiệu: 96/2015/TT-BTC | Cơ quan ban hành: Bộ Tài chính | Ngày ban hành: 2015-06-22</w:t>
      </w:r>
    </w:p>
    <w:p>
      <w:pPr>
        <w:spacing w:after="120" w:line="360"/>
      </w:pPr>
      <w:r>
        <w:rPr>
          <w:rFonts w:ascii="Times New Roman" w:cs="Times New Roman" w:eastAsia="Times New Roman" w:hAnsi="Times New Roman"/>
          <w:sz w:val="26"/>
          <w:szCs w:val="26"/>
        </w:rPr>
        <w:t xml:space="preserve">BỘ TÀI CHÍNH _______ Số: 96/2015/TT-BTC CỘNG HÒA XÃ HỘI CHỦ NGHĨA VIỆT NAM Độc lập - Tự do - Hạnh phúc __________________________ Hà Nội, ngày 22 tháng 06 năm 2015 THÔNG TƯ Hướng dẫn về thuế thu nhập doanh nghiệp tại Nghị định số 12/2015/NĐ-CP ngày 12/2/2015 của Chính phủ Căn cứ Luật Thuế Thu nhập doanh nghiệp và các Luật sửa đổi, bổ sung; Bộ trưởng Bộ Tài chính ban hành Thông tư hướng dẫn về thuế thu nhập doanh nghiệp.</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Sửa đổi, bổ sung Điều 6 Thông tư số 78/2014/TT-BTC về các khoản chi được trừ và không được trừ khi xác định thu nhập chịu thuế 1.</w:t>
      </w:r>
    </w:p>
    <w:p>
      <w:pPr>
        <w:spacing w:after="120" w:line="360"/>
      </w:pPr>
      <w:r>
        <w:rPr>
          <w:rFonts w:ascii="Times New Roman" w:cs="Times New Roman" w:eastAsia="Times New Roman" w:hAnsi="Times New Roman"/>
          <w:sz w:val="26"/>
          <w:szCs w:val="26"/>
        </w:rPr>
        <w:t xml:space="preserve">Trừ các khoản chi không được trừ nêu tại Khoản 2 Điều này, doanh nghiệp được trừ mọi khoản chi nếu đáp ứng đủ các điều kiện sau: a) Khoản chi thực tế phát sinh liên quan đến hoạt động sản xuất, kinh doanh của doanh nghiệp.</w:t>
      </w:r>
    </w:p>
    <w:p>
      <w:pPr>
        <w:spacing w:after="120" w:line="360"/>
      </w:pPr>
      <w:r>
        <w:rPr>
          <w:rFonts w:ascii="Times New Roman" w:cs="Times New Roman" w:eastAsia="Times New Roman" w:hAnsi="Times New Roman"/>
          <w:sz w:val="26"/>
          <w:szCs w:val="26"/>
        </w:rPr>
        <w:t xml:space="preserve">b) Khoản chi có đủ hoá đơn, chứng từ hợp pháp theo quy định của pháp luật.</w:t>
      </w:r>
    </w:p>
    <w:p>
      <w:pPr>
        <w:spacing w:after="120" w:line="360"/>
      </w:pPr>
      <w:r>
        <w:rPr>
          <w:rFonts w:ascii="Times New Roman" w:cs="Times New Roman" w:eastAsia="Times New Roman" w:hAnsi="Times New Roman"/>
          <w:sz w:val="26"/>
          <w:szCs w:val="26"/>
        </w:rPr>
        <w:t xml:space="preserve">c) Khoản chi nếu có hoá đơn mua hàng hoá, dịch vụ từng lần có giá trị từ 20 triệu đồng trở lên (giá đã bao gồm thuế GTGT) khi thanh toán phải có chứng từ thanh toán không dùng tiền mặt.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khoản chi không được trừ khi xác định thu nhập chịu thuế bao gồm: 2.1.</w:t>
      </w:r>
    </w:p>
    <w:p>
      <w:pPr>
        <w:spacing w:after="120" w:line="360"/>
      </w:pPr>
      <w:r>
        <w:rPr>
          <w:rFonts w:ascii="Times New Roman" w:cs="Times New Roman" w:eastAsia="Times New Roman" w:hAnsi="Times New Roman"/>
          <w:sz w:val="26"/>
          <w:szCs w:val="26"/>
        </w:rPr>
        <w:t xml:space="preserve">Khoản chi không đáp ứng đủ các điều kiện quy định tại Khoản 1 Điều này.</w:t>
      </w:r>
    </w:p>
    <w:p>
      <w:pPr>
        <w:spacing w:after="120" w:line="360"/>
      </w:pPr>
      <w:r>
        <w:rPr>
          <w:rFonts w:ascii="Times New Roman" w:cs="Times New Roman" w:eastAsia="Times New Roman" w:hAnsi="Times New Roman"/>
          <w:sz w:val="26"/>
          <w:szCs w:val="26"/>
        </w:rPr>
        <w:t xml:space="preserve">2.2.</w:t>
      </w:r>
    </w:p>
    <w:p>
      <w:pPr>
        <w:spacing w:after="120" w:line="360"/>
      </w:pPr>
      <w:r>
        <w:rPr>
          <w:rFonts w:ascii="Times New Roman" w:cs="Times New Roman" w:eastAsia="Times New Roman" w:hAnsi="Times New Roman"/>
          <w:sz w:val="26"/>
          <w:szCs w:val="26"/>
        </w:rPr>
        <w:t xml:space="preserve">Chi khấu hao tài sản cố định thuộc một trong các trường hợp: khấu hao vượt mức quy định tại Thông tư 45/2013/TT-BTC; khấu hao đối với xe ô tô chở người từ 9 chỗ ngồi trở xuống có nguyên giá vượt trên 1,6 tỷ đồng (phần vượt 1,6 tỷ đồng không được tính vào chi phí được trừ).</w:t>
      </w:r>
    </w:p>
    <w:p>
      <w:pPr>
        <w:spacing w:after="120" w:line="360"/>
      </w:pPr>
      <w:r>
        <w:rPr>
          <w:rFonts w:ascii="Times New Roman" w:cs="Times New Roman" w:eastAsia="Times New Roman" w:hAnsi="Times New Roman"/>
          <w:sz w:val="26"/>
          <w:szCs w:val="26"/>
        </w:rPr>
        <w:t xml:space="preserve">2.18.</w:t>
      </w:r>
    </w:p>
    <w:p>
      <w:pPr>
        <w:spacing w:after="120" w:line="360"/>
      </w:pPr>
      <w:r>
        <w:rPr>
          <w:rFonts w:ascii="Times New Roman" w:cs="Times New Roman" w:eastAsia="Times New Roman" w:hAnsi="Times New Roman"/>
          <w:sz w:val="26"/>
          <w:szCs w:val="26"/>
        </w:rPr>
        <w:t xml:space="preserve">Chi trả tiền lương, tiền công, tiền thưởng cho người lao động thuộc một trong các trường hợp: Chi tiền lương, tiền công và các khoản phụ cấp phải trả cho người lao động nhưng thực tế không chi trả hoặc không có chứng từ thanh toán theo quy định của pháp luật; các khoản tiền thưởng, bảo hiểm mua cho người lao động không được ghi cụ thể điều kiện được hưởng và mức được hưởng tại Hợp đồng lao động, Thỏa ước lao động tập thể hoặc Quy chế tài chính của doanh nghiệp.</w:t>
      </w:r>
    </w:p>
    <w:p>
      <w:pPr>
        <w:spacing w:after="120" w:line="360"/>
      </w:pPr>
      <w:r>
        <w:rPr>
          <w:rFonts w:ascii="Times New Roman" w:cs="Times New Roman" w:eastAsia="Times New Roman" w:hAnsi="Times New Roman"/>
          <w:sz w:val="26"/>
          <w:szCs w:val="26"/>
        </w:rPr>
        <w:t xml:space="preserve">2.20.</w:t>
      </w:r>
    </w:p>
    <w:p>
      <w:pPr>
        <w:spacing w:after="120" w:line="360"/>
      </w:pPr>
      <w:r>
        <w:rPr>
          <w:rFonts w:ascii="Times New Roman" w:cs="Times New Roman" w:eastAsia="Times New Roman" w:hAnsi="Times New Roman"/>
          <w:sz w:val="26"/>
          <w:szCs w:val="26"/>
        </w:rPr>
        <w:t xml:space="preserve">Chi trả lãi tiền vay vốn tương ứng với phần vốn điều lệ còn thiếu theo tiến độ góp vốn ghi trong điều lệ của doanh nghiệp.</w:t>
      </w:r>
    </w:p>
    <w:p>
      <w:pPr>
        <w:spacing w:after="120" w:line="360"/>
      </w:pPr>
      <w:r>
        <w:rPr>
          <w:rFonts w:ascii="Times New Roman" w:cs="Times New Roman" w:eastAsia="Times New Roman" w:hAnsi="Times New Roman"/>
          <w:sz w:val="26"/>
          <w:szCs w:val="26"/>
        </w:rPr>
        <w:t xml:space="preserve">2.23.</w:t>
      </w:r>
    </w:p>
    <w:p>
      <w:pPr>
        <w:spacing w:after="120" w:line="360"/>
      </w:pPr>
      <w:r>
        <w:rPr>
          <w:rFonts w:ascii="Times New Roman" w:cs="Times New Roman" w:eastAsia="Times New Roman" w:hAnsi="Times New Roman"/>
          <w:sz w:val="26"/>
          <w:szCs w:val="26"/>
        </w:rPr>
        <w:t xml:space="preserve">Các khoản chi tài trợ (trừ tài trợ y tế, giáo dục, làm nhà đại đoàn kết, khắc phục thiên tai đúng quy định).</w:t>
      </w:r>
    </w:p>
    <w:p>
      <w:pPr>
        <w:spacing w:after="120" w:line="360"/>
      </w:pPr>
      <w:r>
        <w:rPr>
          <w:rFonts w:ascii="Times New Roman" w:cs="Times New Roman" w:eastAsia="Times New Roman" w:hAnsi="Times New Roman"/>
          <w:sz w:val="26"/>
          <w:szCs w:val="26"/>
        </w:rPr>
        <w:t xml:space="preserve">2.30.</w:t>
      </w:r>
    </w:p>
    <w:p>
      <w:pPr>
        <w:spacing w:after="120" w:line="360"/>
      </w:pPr>
      <w:r>
        <w:rPr>
          <w:rFonts w:ascii="Times New Roman" w:cs="Times New Roman" w:eastAsia="Times New Roman" w:hAnsi="Times New Roman"/>
          <w:sz w:val="26"/>
          <w:szCs w:val="26"/>
        </w:rPr>
        <w:t xml:space="preserve">Các khoản tiền phạt về vi phạm hành chính bao gồm: vi phạm luật giao thông, vi phạm chế độ đăng ký kinh doanh, vi phạm pháp luật về thuế bao gồm cả tiền chậm nộp thuế.</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Hiệu lực thi hành Thông tư này có hiệu lực thi hành kể từ ngày 06 tháng 08 năm 2015 và áp dụng cho kỳ tính thuế TNDN từ năm 2015 trở đi.</w:t>
      </w:r>
    </w:p>
    <w:p>
      <w:pPr>
        <w:spacing w:after="120" w:line="360"/>
      </w:pPr>
      <w:r>
        <w:rPr>
          <w:rFonts w:ascii="Times New Roman" w:cs="Times New Roman" w:eastAsia="Times New Roman" w:hAnsi="Times New Roman"/>
          <w:sz w:val="26"/>
          <w:szCs w:val="26"/>
        </w:rPr>
        <w:t xml:space="preserve">THỨ TRƯỞNG Đỗ Hoàng Anh Tuấn.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2026-08-31T08:15:54.233Z</dcterms:created>
  <dcterms:modified xsi:type="dcterms:W3CDTF">2026-08-31T08:15:54.233Z</dcterms:modified>
</cp:coreProperties>
</file>

<file path=docProps/custom.xml><?xml version="1.0" encoding="utf-8"?>
<Properties xmlns="http://schemas.openxmlformats.org/officeDocument/2006/custom-properties" xmlns:vt="http://schemas.openxmlformats.org/officeDocument/2006/docPropsVTypes"/>
</file>