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38/2019/QH14</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13/06/2019</w:t>
            </w:r>
          </w:p>
        </w:tc>
      </w:tr>
    </w:tbl>
    <w:p>
      <w:pPr>
        <w:spacing w:after="240" w:before="360"/>
        <w:jc w:val="center"/>
      </w:pPr>
      <w:r>
        <w:rPr>
          <w:rFonts w:ascii="Times New Roman" w:cs="Times New Roman" w:eastAsia="Times New Roman" w:hAnsi="Times New Roman"/>
          <w:b/>
          <w:bCs/>
          <w:sz w:val="28"/>
          <w:szCs w:val="28"/>
        </w:rPr>
        <w:t xml:space="preserve">LUẬT QUẢN LÝ THUẾ SỐ 38/2019/QH14</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38/2019/QH14</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13 tháng 6 năm 2019</w:t>
      </w:r>
    </w:p>
    <w:p>
      <w:pPr>
        <w:spacing w:after="60" w:before="60" w:line="300"/>
        <w:ind w:firstLine="400"/>
        <w:jc w:val="both"/>
      </w:pPr>
      <w:r>
        <w:rPr>
          <w:rFonts w:ascii="Times New Roman" w:cs="Times New Roman" w:eastAsia="Times New Roman" w:hAnsi="Times New Roman"/>
          <w:sz w:val="26"/>
          <w:szCs w:val="26"/>
        </w:rPr>
        <w:t xml:space="preserve">LUẬT QUẢN LÝ THUẾ</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Quốc hội ban hành Luật Quản lý thuế số 38/2019/QH14.</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NHỮNG 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việc quản lý các loại thuế, các khoản thu khác thuộc ngân sách nhà nước.</w:t>
      </w:r>
    </w:p>
    <w:p>
      <w:pPr>
        <w:spacing w:after="100" w:before="200"/>
      </w:pPr>
      <w:r>
        <w:rPr>
          <w:rFonts w:ascii="Times New Roman" w:cs="Times New Roman" w:eastAsia="Times New Roman" w:hAnsi="Times New Roman"/>
          <w:b/>
          <w:bCs/>
          <w:sz w:val="26"/>
          <w:szCs w:val="26"/>
        </w:rPr>
        <w:t xml:space="preserve">Điều 2. Đối tượng áp dụng</w:t>
      </w:r>
    </w:p>
    <w:p>
      <w:pPr>
        <w:spacing w:after="60" w:before="60" w:line="300"/>
        <w:ind w:firstLine="400"/>
        <w:jc w:val="both"/>
      </w:pPr>
      <w:r>
        <w:rPr>
          <w:rFonts w:ascii="Times New Roman" w:cs="Times New Roman" w:eastAsia="Times New Roman" w:hAnsi="Times New Roman"/>
          <w:sz w:val="26"/>
          <w:szCs w:val="26"/>
        </w:rPr>
        <w:t xml:space="preserve">1. Người nộp thuế bao gồm tổ chức, hộ gia đình, hộ kinh doanh, cá nhân nộp thuế theo quy định của pháp luật về thuế.</w:t>
      </w:r>
    </w:p>
    <w:p>
      <w:pPr>
        <w:spacing w:after="60" w:before="60" w:line="300"/>
        <w:ind w:firstLine="400"/>
        <w:jc w:val="both"/>
      </w:pPr>
      <w:r>
        <w:rPr>
          <w:rFonts w:ascii="Times New Roman" w:cs="Times New Roman" w:eastAsia="Times New Roman" w:hAnsi="Times New Roman"/>
          <w:sz w:val="26"/>
          <w:szCs w:val="26"/>
        </w:rPr>
        <w:t xml:space="preserve">2. Cơ quan quản lý thuế bao gồm Cơ quan thuế (Tổng cục Thuế, Cục Thuế, Chi cục Thuế) và Cơ quan hải quan (Tổng cục Hải quan, Cục Hải quan, Chi cục Hải quan).</w:t>
      </w:r>
    </w:p>
    <w:p>
      <w:pPr>
        <w:spacing w:after="60" w:before="60" w:line="300"/>
        <w:ind w:firstLine="400"/>
        <w:jc w:val="both"/>
      </w:pPr>
      <w:r>
        <w:rPr>
          <w:rFonts w:ascii="Times New Roman" w:cs="Times New Roman" w:eastAsia="Times New Roman" w:hAnsi="Times New Roman"/>
          <w:sz w:val="26"/>
          <w:szCs w:val="26"/>
        </w:rPr>
        <w:t xml:space="preserve">3. Công chức quản lý thuế và cơ quan nhà nước, tổ chức, cá nhân khác có liên quan.</w:t>
      </w:r>
    </w:p>
    <w:p>
      <w:pPr>
        <w:spacing w:after="100" w:before="200"/>
      </w:pPr>
      <w:r>
        <w:rPr>
          <w:rFonts w:ascii="Times New Roman" w:cs="Times New Roman" w:eastAsia="Times New Roman" w:hAnsi="Times New Roman"/>
          <w:b/>
          <w:bCs/>
          <w:sz w:val="26"/>
          <w:szCs w:val="26"/>
        </w:rPr>
        <w:t xml:space="preserve">Điều 3. Nguyên tắc quản lý thuế</w:t>
      </w:r>
    </w:p>
    <w:p>
      <w:pPr>
        <w:spacing w:after="60" w:before="60" w:line="300"/>
        <w:ind w:firstLine="400"/>
        <w:jc w:val="both"/>
      </w:pPr>
      <w:r>
        <w:rPr>
          <w:rFonts w:ascii="Times New Roman" w:cs="Times New Roman" w:eastAsia="Times New Roman" w:hAnsi="Times New Roman"/>
          <w:sz w:val="26"/>
          <w:szCs w:val="26"/>
        </w:rPr>
        <w:t xml:space="preserve">1. Mọi tổ chức, hộ gia đình, cá nhân có nghĩa vụ nộp thuế theo quy định của luật.</w:t>
      </w:r>
    </w:p>
    <w:p>
      <w:pPr>
        <w:spacing w:after="60" w:before="60" w:line="300"/>
        <w:ind w:firstLine="400"/>
        <w:jc w:val="both"/>
      </w:pPr>
      <w:r>
        <w:rPr>
          <w:rFonts w:ascii="Times New Roman" w:cs="Times New Roman" w:eastAsia="Times New Roman" w:hAnsi="Times New Roman"/>
          <w:sz w:val="26"/>
          <w:szCs w:val="26"/>
        </w:rPr>
        <w:t xml:space="preserve">2. Cơ quan quản lý thuế, các cơ quan khác của Nhà nước được giao nhiệm vụ thu ngân sách nhà nước thực hiện quản lý thuế theo quy định của Luật này và quy định khác của pháp luật có liên quan, bảo đảm công khai, minh bạch, bình đẳng và bảo đảm quyền, lợi ích hợp pháp của người nộp thuế.</w:t>
      </w:r>
    </w:p>
    <w:p>
      <w:pPr>
        <w:spacing w:after="60" w:before="60" w:line="300"/>
        <w:ind w:firstLine="400"/>
        <w:jc w:val="both"/>
      </w:pPr>
      <w:r>
        <w:rPr>
          <w:rFonts w:ascii="Times New Roman" w:cs="Times New Roman" w:eastAsia="Times New Roman" w:hAnsi="Times New Roman"/>
          <w:sz w:val="26"/>
          <w:szCs w:val="26"/>
        </w:rPr>
        <w:t xml:space="preserve">3. Áp dụng quản lý rủi ro và ứng dụng công nghệ thông tin hiện đại trong quản lý thuế.</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ĐĂNG KÝ THUẾ, KHAI THUẾ, NỘP THUẾ</w:t>
      </w:r>
    </w:p>
    <w:p>
      <w:pPr>
        <w:spacing w:after="100" w:before="200"/>
      </w:pPr>
      <w:r>
        <w:rPr>
          <w:rFonts w:ascii="Times New Roman" w:cs="Times New Roman" w:eastAsia="Times New Roman" w:hAnsi="Times New Roman"/>
          <w:b/>
          <w:bCs/>
          <w:sz w:val="26"/>
          <w:szCs w:val="26"/>
        </w:rPr>
        <w:t xml:space="preserve">Điều 4. Đăng ký thuế và mã số thuế</w:t>
      </w:r>
    </w:p>
    <w:p>
      <w:pPr>
        <w:spacing w:after="60" w:before="60" w:line="300"/>
        <w:ind w:firstLine="400"/>
        <w:jc w:val="both"/>
      </w:pPr>
      <w:r>
        <w:rPr>
          <w:rFonts w:ascii="Times New Roman" w:cs="Times New Roman" w:eastAsia="Times New Roman" w:hAnsi="Times New Roman"/>
          <w:sz w:val="26"/>
          <w:szCs w:val="26"/>
        </w:rPr>
        <w:t xml:space="preserve">1. Người nộp thuế phải thực hiện đăng ký thuế và được cơ quan thuế cấp mã số thuế trước khi bắt đầu hoạt động sản xuất, kinh doanh hoặc có phát sinh nghĩa vụ với ngân sách nhà nước.</w:t>
      </w:r>
    </w:p>
    <w:p>
      <w:pPr>
        <w:spacing w:after="60" w:before="60" w:line="300"/>
        <w:ind w:firstLine="400"/>
        <w:jc w:val="both"/>
      </w:pPr>
      <w:r>
        <w:rPr>
          <w:rFonts w:ascii="Times New Roman" w:cs="Times New Roman" w:eastAsia="Times New Roman" w:hAnsi="Times New Roman"/>
          <w:sz w:val="26"/>
          <w:szCs w:val="26"/>
        </w:rPr>
        <w:t xml:space="preserve">2. Mã số thuế là một dãy số hoặc chữ cái do cơ quan quản lý thuế cấp cho người nộp thuế dùng để quản lý thuế.</w:t>
      </w:r>
    </w:p>
    <w:p>
      <w:pPr>
        <w:spacing w:after="100" w:before="200"/>
      </w:pPr>
      <w:r>
        <w:rPr>
          <w:rFonts w:ascii="Times New Roman" w:cs="Times New Roman" w:eastAsia="Times New Roman" w:hAnsi="Times New Roman"/>
          <w:b/>
          <w:bCs/>
          <w:sz w:val="26"/>
          <w:szCs w:val="26"/>
        </w:rPr>
        <w:t xml:space="preserve">Điều 5. Thời hạn nộp hồ sơ khai thuế</w:t>
      </w:r>
    </w:p>
    <w:p>
      <w:pPr>
        <w:spacing w:after="60" w:before="60" w:line="300"/>
        <w:ind w:firstLine="400"/>
        <w:jc w:val="both"/>
      </w:pPr>
      <w:r>
        <w:rPr>
          <w:rFonts w:ascii="Times New Roman" w:cs="Times New Roman" w:eastAsia="Times New Roman" w:hAnsi="Times New Roman"/>
          <w:sz w:val="26"/>
          <w:szCs w:val="26"/>
        </w:rPr>
        <w:t xml:space="preserve">1. Đối với loại thuế khai theo tháng: Chậm nhất là ngày thứ 20 của tháng tiếp theo tháng phát sinh nghĩa vụ thuế.</w:t>
      </w:r>
    </w:p>
    <w:p>
      <w:pPr>
        <w:spacing w:after="60" w:before="60" w:line="300"/>
        <w:ind w:firstLine="400"/>
        <w:jc w:val="both"/>
      </w:pPr>
      <w:r>
        <w:rPr>
          <w:rFonts w:ascii="Times New Roman" w:cs="Times New Roman" w:eastAsia="Times New Roman" w:hAnsi="Times New Roman"/>
          <w:sz w:val="26"/>
          <w:szCs w:val="26"/>
        </w:rPr>
        <w:t xml:space="preserve">2. Đối với loại thuế khai theo quý: Chậm nhất là ngày cuối cùng của tháng đầu của quý tiếp theo quý phát sinh nghĩa vụ thuế.</w:t>
      </w:r>
    </w:p>
    <w:p>
      <w:pPr>
        <w:spacing w:after="60" w:before="60" w:line="300"/>
        <w:ind w:firstLine="400"/>
        <w:jc w:val="both"/>
      </w:pPr>
      <w:r>
        <w:rPr>
          <w:rFonts w:ascii="Times New Roman" w:cs="Times New Roman" w:eastAsia="Times New Roman" w:hAnsi="Times New Roman"/>
          <w:sz w:val="26"/>
          <w:szCs w:val="26"/>
        </w:rPr>
        <w:t xml:space="preserve">3. Đối với loại thuế có kỳ tính thuế theo năm:</w:t>
      </w:r>
    </w:p>
    <w:p>
      <w:pPr>
        <w:spacing w:after="60" w:before="60" w:line="300"/>
        <w:ind w:firstLine="400"/>
        <w:jc w:val="both"/>
      </w:pPr>
      <w:r>
        <w:rPr>
          <w:rFonts w:ascii="Times New Roman" w:cs="Times New Roman" w:eastAsia="Times New Roman" w:hAnsi="Times New Roman"/>
          <w:sz w:val="26"/>
          <w:szCs w:val="26"/>
        </w:rPr>
        <w:t xml:space="preserve">a) Chậm nhất là ngày cuối cùng của tháng thứ 3 kể từ ngày kết thúc năm dương lịch hoặc năm tài chính đối với hồ sơ quyết toán thuế năm;</w:t>
      </w:r>
    </w:p>
    <w:p>
      <w:pPr>
        <w:spacing w:after="60" w:before="60" w:line="300"/>
        <w:ind w:firstLine="400"/>
        <w:jc w:val="both"/>
      </w:pPr>
      <w:r>
        <w:rPr>
          <w:rFonts w:ascii="Times New Roman" w:cs="Times New Roman" w:eastAsia="Times New Roman" w:hAnsi="Times New Roman"/>
          <w:sz w:val="26"/>
          <w:szCs w:val="26"/>
        </w:rPr>
        <w:t xml:space="preserve">b) Chậm nhất là ngày cuối cùng của tháng thứ 4 kể từ ngày kết thúc năm dương lịch đối với hồ sơ quyết toán thuế thu nhập cá nhân của cá nhân trực tiếp quyết toán thuế.</w:t>
      </w:r>
    </w:p>
    <w:p>
      <w:pPr>
        <w:spacing w:after="100" w:before="200"/>
      </w:pPr>
      <w:r>
        <w:rPr>
          <w:rFonts w:ascii="Times New Roman" w:cs="Times New Roman" w:eastAsia="Times New Roman" w:hAnsi="Times New Roman"/>
          <w:b/>
          <w:bCs/>
          <w:sz w:val="26"/>
          <w:szCs w:val="26"/>
        </w:rPr>
        <w:t xml:space="preserve">Điều 6. Hóa đơn, chứng từ điện tử</w:t>
      </w:r>
    </w:p>
    <w:p>
      <w:pPr>
        <w:spacing w:after="60" w:before="60" w:line="300"/>
        <w:ind w:firstLine="400"/>
        <w:jc w:val="both"/>
      </w:pPr>
      <w:r>
        <w:rPr>
          <w:rFonts w:ascii="Times New Roman" w:cs="Times New Roman" w:eastAsia="Times New Roman" w:hAnsi="Times New Roman"/>
          <w:sz w:val="26"/>
          <w:szCs w:val="26"/>
        </w:rPr>
        <w:t xml:space="preserve">1. Khi bán hàng hóa, cung cấp dịch vụ, người bán phải lập hóa đơn điện tử để giao cho người mua theo định dạng chuẩn dữ liệu và phải ghi đầy đủ nội dung theo quy định của pháp luật về thuế, pháp luật về kế toán, không phân biệt giá trị từng lần bán hàng hóa, cung cấp dịch vụ.</w:t>
      </w:r>
    </w:p>
    <w:p>
      <w:pPr>
        <w:spacing w:after="60" w:before="60" w:line="300"/>
        <w:ind w:firstLine="400"/>
        <w:jc w:val="both"/>
      </w:pPr>
      <w:r>
        <w:rPr>
          <w:rFonts w:ascii="Times New Roman" w:cs="Times New Roman" w:eastAsia="Times New Roman" w:hAnsi="Times New Roman"/>
          <w:sz w:val="26"/>
          <w:szCs w:val="26"/>
        </w:rPr>
        <w:t xml:space="preserve">2. Áp dụng hóa đơn điện tử có mã của cơ quan thuế hoặc hóa đơn điện tử không có mã của cơ quan thuế trên phạm vi toàn quốc.</w:t>
      </w:r>
    </w:p>
    <w:p>
      <w:pPr>
        <w:spacing w:after="100" w:before="200"/>
      </w:pPr>
      <w:r>
        <w:rPr>
          <w:rFonts w:ascii="Times New Roman" w:cs="Times New Roman" w:eastAsia="Times New Roman" w:hAnsi="Times New Roman"/>
          <w:b/>
          <w:bCs/>
          <w:sz w:val="26"/>
          <w:szCs w:val="26"/>
        </w:rPr>
        <w:t xml:space="preserve">Chương III</w:t>
      </w:r>
    </w:p>
    <w:p>
      <w:pPr>
        <w:spacing w:after="60" w:before="60" w:line="300"/>
        <w:ind w:firstLine="400"/>
        <w:jc w:val="both"/>
      </w:pPr>
      <w:r>
        <w:rPr>
          <w:rFonts w:ascii="Times New Roman" w:cs="Times New Roman" w:eastAsia="Times New Roman" w:hAnsi="Times New Roman"/>
          <w:sz w:val="26"/>
          <w:szCs w:val="26"/>
        </w:rPr>
        <w:t xml:space="preserve">KIỂM TRA THUẾ, THANH TRA THUẾ VÀ XỬ LÝ VI PHẠM</w:t>
      </w:r>
    </w:p>
    <w:p>
      <w:pPr>
        <w:spacing w:after="100" w:before="200"/>
      </w:pPr>
      <w:r>
        <w:rPr>
          <w:rFonts w:ascii="Times New Roman" w:cs="Times New Roman" w:eastAsia="Times New Roman" w:hAnsi="Times New Roman"/>
          <w:b/>
          <w:bCs/>
          <w:sz w:val="26"/>
          <w:szCs w:val="26"/>
        </w:rPr>
        <w:t xml:space="preserve">Điều 7. Kiểm tra thuế tại trụ sở cơ quan thuế và trụ sở người nộp thuế</w:t>
      </w:r>
    </w:p>
    <w:p>
      <w:pPr>
        <w:spacing w:after="60" w:before="60" w:line="300"/>
        <w:ind w:firstLine="400"/>
        <w:jc w:val="both"/>
      </w:pPr>
      <w:r>
        <w:rPr>
          <w:rFonts w:ascii="Times New Roman" w:cs="Times New Roman" w:eastAsia="Times New Roman" w:hAnsi="Times New Roman"/>
          <w:sz w:val="26"/>
          <w:szCs w:val="26"/>
        </w:rPr>
        <w:t xml:space="preserve">1. Kiểm tra thuế tại trụ sở cơ quan thuế được thực hiện thường xuyên trên cơ sở phân tích rủi ro hồ sơ khai thuế.</w:t>
      </w:r>
    </w:p>
    <w:p>
      <w:pPr>
        <w:spacing w:after="60" w:before="60" w:line="300"/>
        <w:ind w:firstLine="400"/>
        <w:jc w:val="both"/>
      </w:pPr>
      <w:r>
        <w:rPr>
          <w:rFonts w:ascii="Times New Roman" w:cs="Times New Roman" w:eastAsia="Times New Roman" w:hAnsi="Times New Roman"/>
          <w:sz w:val="26"/>
          <w:szCs w:val="26"/>
        </w:rPr>
        <w:t xml:space="preserve">2. Kiểm tra thuế tại trụ sở người nộp thuế được thực hiện theo kế hoạch, chuyên đề hoặc khi có dấu hiệu vi phạm pháp luật.</w:t>
      </w:r>
    </w:p>
    <w:p>
      <w:pPr>
        <w:spacing w:after="100" w:before="200"/>
      </w:pPr>
      <w:r>
        <w:rPr>
          <w:rFonts w:ascii="Times New Roman" w:cs="Times New Roman" w:eastAsia="Times New Roman" w:hAnsi="Times New Roman"/>
          <w:b/>
          <w:bCs/>
          <w:sz w:val="26"/>
          <w:szCs w:val="26"/>
        </w:rPr>
        <w:t xml:space="preserve">Điều 8. Xử lý vi phạm pháp luật về thuế</w:t>
      </w:r>
    </w:p>
    <w:p>
      <w:pPr>
        <w:spacing w:after="60" w:before="60" w:line="300"/>
        <w:ind w:firstLine="400"/>
        <w:jc w:val="both"/>
      </w:pPr>
      <w:r>
        <w:rPr>
          <w:rFonts w:ascii="Times New Roman" w:cs="Times New Roman" w:eastAsia="Times New Roman" w:hAnsi="Times New Roman"/>
          <w:sz w:val="26"/>
          <w:szCs w:val="26"/>
        </w:rPr>
        <w:t xml:space="preserve">1. Người nộp thuế có hành vi vi phạm pháp luật về thuế thì bị xử phạt vi phạm hành chính theo quy định.</w:t>
      </w:r>
    </w:p>
    <w:p>
      <w:pPr>
        <w:spacing w:after="60" w:before="60" w:line="300"/>
        <w:ind w:firstLine="400"/>
        <w:jc w:val="both"/>
      </w:pPr>
      <w:r>
        <w:rPr>
          <w:rFonts w:ascii="Times New Roman" w:cs="Times New Roman" w:eastAsia="Times New Roman" w:hAnsi="Times New Roman"/>
          <w:sz w:val="26"/>
          <w:szCs w:val="26"/>
        </w:rPr>
        <w:t xml:space="preserve">2. Người nộp thuế chậm nộp tiền thuế so với thời hạn quy định phải nộp tiền chậm nộp theo mức 0,03%/ngày tính trên số tiền thuế chậm nộp.</w:t>
      </w:r>
    </w:p>
    <w:p>
      <w:pPr>
        <w:spacing w:after="100" w:before="200"/>
      </w:pPr>
      <w:r>
        <w:rPr>
          <w:rFonts w:ascii="Times New Roman" w:cs="Times New Roman" w:eastAsia="Times New Roman" w:hAnsi="Times New Roman"/>
          <w:b/>
          <w:bCs/>
          <w:sz w:val="26"/>
          <w:szCs w:val="26"/>
        </w:rPr>
        <w:t xml:space="preserve">Chương IV</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9. Hiệu lực thi hành</w:t>
      </w:r>
    </w:p>
    <w:p>
      <w:pPr>
        <w:spacing w:after="60" w:before="60" w:line="300"/>
        <w:ind w:firstLine="400"/>
        <w:jc w:val="both"/>
      </w:pPr>
      <w:r>
        <w:rPr>
          <w:rFonts w:ascii="Times New Roman" w:cs="Times New Roman" w:eastAsia="Times New Roman" w:hAnsi="Times New Roman"/>
          <w:sz w:val="26"/>
          <w:szCs w:val="26"/>
        </w:rPr>
        <w:t xml:space="preserve">Luật này có hiệu lực thi hành từ ngày 01 tháng 7 năm 2020. Riêng quy định về hóa đơn, chứng từ điện tử có hiệu lực từ ngày 01 tháng 7 năm 2022.</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Nguyễn Thị Kim Ngân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Thị Kim Ngân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2026-08-29T13:08:37.258Z</dcterms:created>
  <dcterms:modified xsi:type="dcterms:W3CDTF">2026-08-29T13:08:37.258Z</dcterms:modified>
</cp:coreProperties>
</file>

<file path=docProps/custom.xml><?xml version="1.0" encoding="utf-8"?>
<Properties xmlns="http://schemas.openxmlformats.org/officeDocument/2006/custom-properties" xmlns:vt="http://schemas.openxmlformats.org/officeDocument/2006/docPropsVTypes"/>
</file>