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41/2024/QH15</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29/06/2024</w:t>
            </w:r>
          </w:p>
        </w:tc>
      </w:tr>
    </w:tbl>
    <w:p>
      <w:pPr>
        <w:spacing w:after="240" w:before="360"/>
        <w:jc w:val="center"/>
      </w:pPr>
      <w:r>
        <w:rPr>
          <w:rFonts w:ascii="Times New Roman" w:cs="Times New Roman" w:eastAsia="Times New Roman" w:hAnsi="Times New Roman"/>
          <w:b/>
          <w:bCs/>
          <w:sz w:val="28"/>
          <w:szCs w:val="28"/>
        </w:rPr>
        <w:t xml:space="preserve">LUẬT BẢO HIỂM XÃ HỘI SỐ 41/2024/QH15</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41/2024/QH15</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29 tháng 6 năm 2024</w:t>
      </w:r>
    </w:p>
    <w:p>
      <w:pPr>
        <w:spacing w:after="60" w:before="60" w:line="300"/>
        <w:ind w:firstLine="400"/>
        <w:jc w:val="both"/>
      </w:pPr>
      <w:r>
        <w:rPr>
          <w:rFonts w:ascii="Times New Roman" w:cs="Times New Roman" w:eastAsia="Times New Roman" w:hAnsi="Times New Roman"/>
          <w:sz w:val="26"/>
          <w:szCs w:val="26"/>
        </w:rPr>
        <w:t xml:space="preserve">LUẬT BẢO HIỂM XÃ HỘI</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Bảo hiểm xã hội số 41/2024/QH15.</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quyền, trách nhiệm của cơ quan, tổ chức, cá nhân đối với bảo hiểm xã hội (BHXH) và bảo hiểm y tế, bảo hiểm thất nghiệp; các chế độ bảo hiểm xã hội bắt buộc, bảo hiểm xã hội tự nguyện; trợ cấp hưu trí xã hội; quỹ bảo hiểm xã hội.</w:t>
      </w:r>
    </w:p>
    <w:p>
      <w:pPr>
        <w:spacing w:after="100" w:before="200"/>
      </w:pPr>
      <w:r>
        <w:rPr>
          <w:rFonts w:ascii="Times New Roman" w:cs="Times New Roman" w:eastAsia="Times New Roman" w:hAnsi="Times New Roman"/>
          <w:b/>
          <w:bCs/>
          <w:sz w:val="26"/>
          <w:szCs w:val="26"/>
        </w:rPr>
        <w:t xml:space="preserve">Điều 2. Đối tượng tham gia BHXH bắt buộc</w:t>
      </w:r>
    </w:p>
    <w:p>
      <w:pPr>
        <w:spacing w:after="60" w:before="60" w:line="300"/>
        <w:ind w:firstLine="400"/>
        <w:jc w:val="both"/>
      </w:pPr>
      <w:r>
        <w:rPr>
          <w:rFonts w:ascii="Times New Roman" w:cs="Times New Roman" w:eastAsia="Times New Roman" w:hAnsi="Times New Roman"/>
          <w:sz w:val="26"/>
          <w:szCs w:val="26"/>
        </w:rPr>
        <w:t xml:space="preserve">1. Người làm việc theo hợp đồng lao động không xác định thời hạn, hợp đồng lao động xác định thời hạn từ đủ 01 tháng trở lên.</w:t>
      </w:r>
    </w:p>
    <w:p>
      <w:pPr>
        <w:spacing w:after="60" w:before="60" w:line="300"/>
        <w:ind w:firstLine="400"/>
        <w:jc w:val="both"/>
      </w:pPr>
      <w:r>
        <w:rPr>
          <w:rFonts w:ascii="Times New Roman" w:cs="Times New Roman" w:eastAsia="Times New Roman" w:hAnsi="Times New Roman"/>
          <w:sz w:val="26"/>
          <w:szCs w:val="26"/>
        </w:rPr>
        <w:t xml:space="preserve">2. Cán bộ, công chức, viên chức, lực lượng vũ trang nhân dân.</w:t>
      </w:r>
    </w:p>
    <w:p>
      <w:pPr>
        <w:spacing w:after="60" w:before="60" w:line="300"/>
        <w:ind w:firstLine="400"/>
        <w:jc w:val="both"/>
      </w:pPr>
      <w:r>
        <w:rPr>
          <w:rFonts w:ascii="Times New Roman" w:cs="Times New Roman" w:eastAsia="Times New Roman" w:hAnsi="Times New Roman"/>
          <w:sz w:val="26"/>
          <w:szCs w:val="26"/>
        </w:rPr>
        <w:t xml:space="preserve">3. Người quản lý doanh nghiệp, kiểm soát viên, người đại diện phần vốn nhà nước hưởng tiền lương; chủ hộ kinh doanh của hộ kinh doanh có đăng ký kinh doanh.</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CHẾ ĐỘ HƯU TRÍ VÀ CÁC CHẾ ĐỘ BHXH BẮT BUỘC</w:t>
      </w:r>
    </w:p>
    <w:p>
      <w:pPr>
        <w:spacing w:after="100" w:before="200"/>
      </w:pPr>
      <w:r>
        <w:rPr>
          <w:rFonts w:ascii="Times New Roman" w:cs="Times New Roman" w:eastAsia="Times New Roman" w:hAnsi="Times New Roman"/>
          <w:b/>
          <w:bCs/>
          <w:sz w:val="26"/>
          <w:szCs w:val="26"/>
        </w:rPr>
        <w:t xml:space="preserve">Điều 3. Điều kiện hưởng lương hưu</w:t>
      </w:r>
    </w:p>
    <w:p>
      <w:pPr>
        <w:spacing w:after="60" w:before="60" w:line="300"/>
        <w:ind w:firstLine="400"/>
        <w:jc w:val="both"/>
      </w:pPr>
      <w:r>
        <w:rPr>
          <w:rFonts w:ascii="Times New Roman" w:cs="Times New Roman" w:eastAsia="Times New Roman" w:hAnsi="Times New Roman"/>
          <w:sz w:val="26"/>
          <w:szCs w:val="26"/>
        </w:rPr>
        <w:t xml:space="preserve">1. Người lao động khi nghỉ việc có thời gian đóng bảo hiểm xã hội bắt buộc từ đủ 15 năm trở lên thì được hưởng lương hưu nếu thuộc một trong các trường hợp đủ tuổi nghỉ hưu theo quy định của Bộ luật Lao động.</w:t>
      </w:r>
    </w:p>
    <w:p>
      <w:pPr>
        <w:spacing w:after="60" w:before="60" w:line="300"/>
        <w:ind w:firstLine="400"/>
        <w:jc w:val="both"/>
      </w:pPr>
      <w:r>
        <w:rPr>
          <w:rFonts w:ascii="Times New Roman" w:cs="Times New Roman" w:eastAsia="Times New Roman" w:hAnsi="Times New Roman"/>
          <w:sz w:val="26"/>
          <w:szCs w:val="26"/>
        </w:rPr>
        <w:t xml:space="preserve">2. Giảm điều kiện số năm đóng BHXH tối thiểu từ 20 năm xuống 15 năm nhằm tạo cơ hội cho những người tham gia muộn hoặc quá trình tham gia không liên tục được hưởng lương hưu hằng tháng.</w:t>
      </w:r>
    </w:p>
    <w:p>
      <w:pPr>
        <w:spacing w:after="100" w:before="200"/>
      </w:pPr>
      <w:r>
        <w:rPr>
          <w:rFonts w:ascii="Times New Roman" w:cs="Times New Roman" w:eastAsia="Times New Roman" w:hAnsi="Times New Roman"/>
          <w:b/>
          <w:bCs/>
          <w:sz w:val="26"/>
          <w:szCs w:val="26"/>
        </w:rPr>
        <w:t xml:space="preserve">Điều 4. Trợ cấp hưu trí xã hội</w:t>
      </w:r>
    </w:p>
    <w:p>
      <w:pPr>
        <w:spacing w:after="60" w:before="60" w:line="300"/>
        <w:ind w:firstLine="400"/>
        <w:jc w:val="both"/>
      </w:pPr>
      <w:r>
        <w:rPr>
          <w:rFonts w:ascii="Times New Roman" w:cs="Times New Roman" w:eastAsia="Times New Roman" w:hAnsi="Times New Roman"/>
          <w:sz w:val="26"/>
          <w:szCs w:val="26"/>
        </w:rPr>
        <w:t xml:space="preserve">1. Công dân Việt Nam từ đủ 75 tuổi trở lên mà không có lương hưu, trợ cấp bảo hiểm xã hội hằng tháng thì được hưởng trợ cấp hưu trí xã hội do ngân sách nhà nước bảo đảm.</w:t>
      </w:r>
    </w:p>
    <w:p>
      <w:pPr>
        <w:spacing w:after="60" w:before="60" w:line="300"/>
        <w:ind w:firstLine="400"/>
        <w:jc w:val="both"/>
      </w:pPr>
      <w:r>
        <w:rPr>
          <w:rFonts w:ascii="Times New Roman" w:cs="Times New Roman" w:eastAsia="Times New Roman" w:hAnsi="Times New Roman"/>
          <w:sz w:val="26"/>
          <w:szCs w:val="26"/>
        </w:rPr>
        <w:t xml:space="preserve">2. Được cấp thẻ bảo hiểm y tế miễn phí trong thời gian hưởng trợ cấp hưu trí xã hội.</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5.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7 năm 2025.</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Trần Thanh Mẫn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Trần Thanh Mẫn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2026-08-29T13:08:37.113Z</dcterms:created>
  <dcterms:modified xsi:type="dcterms:W3CDTF">2026-08-29T13:08:37.114Z</dcterms:modified>
</cp:coreProperties>
</file>

<file path=docProps/custom.xml><?xml version="1.0" encoding="utf-8"?>
<Properties xmlns="http://schemas.openxmlformats.org/officeDocument/2006/custom-properties" xmlns:vt="http://schemas.openxmlformats.org/officeDocument/2006/docPropsVTypes"/>
</file>