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gridCol w:w="100"/>
      </w:tblGrid>
      <w:tr>
        <w:tc>
          <w:tcPr>
            <w:tcW w:type="pct" w:w="45%"/>
          </w:tcPr>
          <w:p>
            <w:pPr>
              <w:jc w:val="center"/>
            </w:pPr>
            <w:r>
              <w:rPr>
                <w:rFonts w:ascii="Times New Roman" w:cs="Times New Roman" w:eastAsia="Times New Roman" w:hAnsi="Times New Roman"/>
                <w:b/>
                <w:bCs/>
                <w:sz w:val="24"/>
                <w:szCs w:val="24"/>
              </w:rPr>
              <w:t xml:space="preserve">QUỐC HỘI</w:t>
            </w:r>
          </w:p>
          <w:p>
            <w:pPr>
              <w:spacing w:after="120" w:before="80"/>
              <w:jc w:val="center"/>
            </w:pPr>
            <w:r>
              <w:rPr>
                <w:rFonts w:ascii="Times New Roman" w:cs="Times New Roman" w:eastAsia="Times New Roman" w:hAnsi="Times New Roman"/>
                <w:sz w:val="24"/>
                <w:szCs w:val="24"/>
              </w:rPr>
              <w:t xml:space="preserve">Số: 48/2024/QH15</w:t>
            </w:r>
          </w:p>
        </w:tc>
        <w:tc>
          <w:tcPr>
            <w:tcW w:type="pct" w:w="55%"/>
          </w:tcPr>
          <w:p>
            <w:pPr>
              <w:jc w:val="center"/>
            </w:pPr>
            <w:r>
              <w:rPr>
                <w:rFonts w:ascii="Times New Roman" w:cs="Times New Roman" w:eastAsia="Times New Roman" w:hAnsi="Times New Roman"/>
                <w:b/>
                <w:bCs/>
                <w:sz w:val="24"/>
                <w:szCs w:val="24"/>
              </w:rPr>
              <w:t xml:space="preserve">CỘNG HÒA XÃ HỘI CHỦ NGHĨA VIỆT NAM</w:t>
            </w:r>
          </w:p>
          <w:p>
            <w:pPr>
              <w:spacing w:after="120" w:before="40"/>
              <w:jc w:val="center"/>
            </w:pPr>
            <w:r>
              <w:rPr>
                <w:rFonts w:ascii="Times New Roman" w:cs="Times New Roman" w:eastAsia="Times New Roman" w:hAnsi="Times New Roman"/>
                <w:b/>
                <w:bCs/>
                <w:sz w:val="26"/>
                <w:szCs w:val="26"/>
                <w:u w:val="single"/>
              </w:rPr>
              <w:t xml:space="preserve">Độc lập - Tự do - Hạnh phúc</w:t>
            </w:r>
          </w:p>
          <w:p>
            <w:pPr>
              <w:jc w:val="right"/>
            </w:pPr>
            <w:r>
              <w:rPr>
                <w:rFonts w:ascii="Times New Roman" w:cs="Times New Roman" w:eastAsia="Times New Roman" w:hAnsi="Times New Roman"/>
                <w:i/>
                <w:iCs/>
                <w:sz w:val="22"/>
                <w:szCs w:val="22"/>
              </w:rPr>
              <w:t xml:space="preserve">Ngày ban hành: 26/11/2024</w:t>
            </w:r>
          </w:p>
        </w:tc>
      </w:tr>
    </w:tbl>
    <w:p>
      <w:pPr>
        <w:spacing w:after="240" w:before="360"/>
        <w:jc w:val="center"/>
      </w:pPr>
      <w:r>
        <w:rPr>
          <w:rFonts w:ascii="Times New Roman" w:cs="Times New Roman" w:eastAsia="Times New Roman" w:hAnsi="Times New Roman"/>
          <w:b/>
          <w:bCs/>
          <w:sz w:val="28"/>
          <w:szCs w:val="28"/>
        </w:rPr>
        <w:t xml:space="preserve">LUẬT THUẾ GIÁ TRỊ GIA TĂNG SỐ 48/2024/QH15</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_______</w:t>
      </w:r>
    </w:p>
    <w:p>
      <w:pPr>
        <w:spacing w:after="60" w:before="60" w:line="300"/>
        <w:ind w:firstLine="400"/>
        <w:jc w:val="both"/>
      </w:pPr>
      <w:r>
        <w:rPr>
          <w:rFonts w:ascii="Times New Roman" w:cs="Times New Roman" w:eastAsia="Times New Roman" w:hAnsi="Times New Roman"/>
          <w:sz w:val="26"/>
          <w:szCs w:val="26"/>
        </w:rPr>
        <w:t xml:space="preserve">Số: 48/2024/QH15</w:t>
      </w:r>
    </w:p>
    <w:p>
      <w:pPr>
        <w:spacing w:after="60" w:before="60" w:line="300"/>
        <w:ind w:firstLine="400"/>
        <w:jc w:val="both"/>
      </w:pPr>
      <w:r>
        <w:rPr>
          <w:rFonts w:ascii="Times New Roman" w:cs="Times New Roman" w:eastAsia="Times New Roman" w:hAnsi="Times New Roman"/>
          <w:sz w:val="26"/>
          <w:szCs w:val="26"/>
        </w:rPr>
        <w:t xml:space="preserve">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Độc lập - Tự do - Hạnh phúc</w:t>
      </w:r>
    </w:p>
    <w:p>
      <w:pPr>
        <w:spacing w:after="60" w:before="60" w:line="300"/>
        <w:ind w:firstLine="400"/>
        <w:jc w:val="both"/>
      </w:pPr>
      <w:r>
        <w:rPr>
          <w:rFonts w:ascii="Times New Roman" w:cs="Times New Roman" w:eastAsia="Times New Roman" w:hAnsi="Times New Roman"/>
          <w:sz w:val="26"/>
          <w:szCs w:val="26"/>
        </w:rPr>
        <w:t xml:space="preserve">__________________________</w:t>
      </w:r>
    </w:p>
    <w:p>
      <w:pPr>
        <w:spacing w:after="60" w:before="60" w:line="300"/>
        <w:ind w:firstLine="400"/>
        <w:jc w:val="both"/>
      </w:pPr>
      <w:r>
        <w:rPr>
          <w:rFonts w:ascii="Times New Roman" w:cs="Times New Roman" w:eastAsia="Times New Roman" w:hAnsi="Times New Roman"/>
          <w:sz w:val="26"/>
          <w:szCs w:val="26"/>
        </w:rPr>
        <w:t xml:space="preserve">Hà Nội, ngày 26 tháng 11 năm 2024</w:t>
      </w:r>
    </w:p>
    <w:p>
      <w:pPr>
        <w:spacing w:after="60" w:before="60" w:line="300"/>
        <w:ind w:firstLine="400"/>
        <w:jc w:val="both"/>
      </w:pPr>
      <w:r>
        <w:rPr>
          <w:rFonts w:ascii="Times New Roman" w:cs="Times New Roman" w:eastAsia="Times New Roman" w:hAnsi="Times New Roman"/>
          <w:sz w:val="26"/>
          <w:szCs w:val="26"/>
        </w:rPr>
        <w:t xml:space="preserve">LUẬT THUẾ GIÁ TRỊ GIA TĂNG</w:t>
      </w:r>
    </w:p>
    <w:p>
      <w:pPr>
        <w:spacing w:after="60" w:before="60" w:line="300"/>
        <w:ind w:firstLine="400"/>
        <w:jc w:val="both"/>
      </w:pPr>
      <w:r>
        <w:rPr>
          <w:rFonts w:ascii="Times New Roman" w:cs="Times New Roman" w:eastAsia="Times New Roman" w:hAnsi="Times New Roman"/>
          <w:sz w:val="26"/>
          <w:szCs w:val="26"/>
        </w:rPr>
        <w:t xml:space="preserve">Căn cứ Hiến pháp nước Cộng hòa xã hội chủ nghĩa Việt Nam;</w:t>
      </w:r>
    </w:p>
    <w:p>
      <w:pPr>
        <w:spacing w:after="60" w:before="60" w:line="300"/>
        <w:ind w:firstLine="400"/>
        <w:jc w:val="both"/>
      </w:pPr>
      <w:r>
        <w:rPr>
          <w:rFonts w:ascii="Times New Roman" w:cs="Times New Roman" w:eastAsia="Times New Roman" w:hAnsi="Times New Roman"/>
          <w:sz w:val="26"/>
          <w:szCs w:val="26"/>
        </w:rPr>
        <w:t xml:space="preserve">Quốc hội ban hành Luật Thuế Giá trị gia tăng số 48/2024/QH15.</w:t>
      </w:r>
    </w:p>
    <w:p>
      <w:pPr>
        <w:spacing w:after="100" w:before="200"/>
      </w:pPr>
      <w:r>
        <w:rPr>
          <w:rFonts w:ascii="Times New Roman" w:cs="Times New Roman" w:eastAsia="Times New Roman" w:hAnsi="Times New Roman"/>
          <w:b/>
          <w:bCs/>
          <w:sz w:val="26"/>
          <w:szCs w:val="26"/>
        </w:rPr>
        <w:t xml:space="preserve">Chương I</w:t>
      </w:r>
    </w:p>
    <w:p>
      <w:pPr>
        <w:spacing w:after="60" w:before="60" w:line="300"/>
        <w:ind w:firstLine="400"/>
        <w:jc w:val="both"/>
      </w:pPr>
      <w:r>
        <w:rPr>
          <w:rFonts w:ascii="Times New Roman" w:cs="Times New Roman" w:eastAsia="Times New Roman" w:hAnsi="Times New Roman"/>
          <w:sz w:val="26"/>
          <w:szCs w:val="26"/>
        </w:rPr>
        <w:t xml:space="preserve">QUY ĐỊNH CHUNG</w:t>
      </w:r>
    </w:p>
    <w:p>
      <w:pPr>
        <w:spacing w:after="100" w:before="200"/>
      </w:pPr>
      <w:r>
        <w:rPr>
          <w:rFonts w:ascii="Times New Roman" w:cs="Times New Roman" w:eastAsia="Times New Roman" w:hAnsi="Times New Roman"/>
          <w:b/>
          <w:bCs/>
          <w:sz w:val="26"/>
          <w:szCs w:val="26"/>
        </w:rPr>
        <w:t xml:space="preserve">Điều 1. Phạm vi điều chỉnh</w:t>
      </w:r>
    </w:p>
    <w:p>
      <w:pPr>
        <w:spacing w:after="60" w:before="60" w:line="300"/>
        <w:ind w:firstLine="400"/>
        <w:jc w:val="both"/>
      </w:pPr>
      <w:r>
        <w:rPr>
          <w:rFonts w:ascii="Times New Roman" w:cs="Times New Roman" w:eastAsia="Times New Roman" w:hAnsi="Times New Roman"/>
          <w:sz w:val="26"/>
          <w:szCs w:val="26"/>
        </w:rPr>
        <w:t xml:space="preserve">Luật này quy định về đối tượng chịu thuế, đối tượng không chịu thuế, người nộp thuế, căn cứ và phương pháp tính thuế, khấu trừ và hoàn thuế giá trị gia tăng.</w:t>
      </w:r>
    </w:p>
    <w:p>
      <w:pPr>
        <w:spacing w:after="100" w:before="200"/>
      </w:pPr>
      <w:r>
        <w:rPr>
          <w:rFonts w:ascii="Times New Roman" w:cs="Times New Roman" w:eastAsia="Times New Roman" w:hAnsi="Times New Roman"/>
          <w:b/>
          <w:bCs/>
          <w:sz w:val="26"/>
          <w:szCs w:val="26"/>
        </w:rPr>
        <w:t xml:space="preserve">Điều 2. Đối tượng chịu thuế</w:t>
      </w:r>
    </w:p>
    <w:p>
      <w:pPr>
        <w:spacing w:after="60" w:before="60" w:line="300"/>
        <w:ind w:firstLine="400"/>
        <w:jc w:val="both"/>
      </w:pPr>
      <w:r>
        <w:rPr>
          <w:rFonts w:ascii="Times New Roman" w:cs="Times New Roman" w:eastAsia="Times New Roman" w:hAnsi="Times New Roman"/>
          <w:sz w:val="26"/>
          <w:szCs w:val="26"/>
        </w:rPr>
        <w:t xml:space="preserve">Hàng hóa, dịch vụ sử dụng cho sản xuất, kinh doanh và tiêu dùng ở Việt Nam là đối tượng chịu thuế giá trị gia tăng, trừ các đối tượng quy định tại Điều 5 của Luật này.</w:t>
      </w:r>
    </w:p>
    <w:p>
      <w:pPr>
        <w:spacing w:after="100" w:before="200"/>
      </w:pPr>
      <w:r>
        <w:rPr>
          <w:rFonts w:ascii="Times New Roman" w:cs="Times New Roman" w:eastAsia="Times New Roman" w:hAnsi="Times New Roman"/>
          <w:b/>
          <w:bCs/>
          <w:sz w:val="26"/>
          <w:szCs w:val="26"/>
        </w:rPr>
        <w:t xml:space="preserve">Điều 3. Người nộp thuế</w:t>
      </w:r>
    </w:p>
    <w:p>
      <w:pPr>
        <w:spacing w:after="60" w:before="60" w:line="300"/>
        <w:ind w:firstLine="400"/>
        <w:jc w:val="both"/>
      </w:pPr>
      <w:r>
        <w:rPr>
          <w:rFonts w:ascii="Times New Roman" w:cs="Times New Roman" w:eastAsia="Times New Roman" w:hAnsi="Times New Roman"/>
          <w:sz w:val="26"/>
          <w:szCs w:val="26"/>
        </w:rPr>
        <w:t xml:space="preserve">1. Người nộp thuế giá trị gia tăng là tổ chức, hộ gia đình, cá nhân sản xuất, kinh doanh hàng hóa, dịch vụ chịu thuế giá trị gia tăng và tổ chức, cá nhân nhập khẩu hàng hóa chịu thuế giá trị gia tăng.</w:t>
      </w:r>
    </w:p>
    <w:p>
      <w:pPr>
        <w:spacing w:after="60" w:before="60" w:line="300"/>
        <w:ind w:firstLine="400"/>
        <w:jc w:val="both"/>
      </w:pPr>
      <w:r>
        <w:rPr>
          <w:rFonts w:ascii="Times New Roman" w:cs="Times New Roman" w:eastAsia="Times New Roman" w:hAnsi="Times New Roman"/>
          <w:sz w:val="26"/>
          <w:szCs w:val="26"/>
        </w:rPr>
        <w:t xml:space="preserve">2. Tổ chức, cá nhân nước ngoài kinh doanh thương mại điện tử, kinh doanh dựa trên nền tảng số không có cơ sở thường trú tại Việt Nam có phát sinh doanh thu tại Việt Nam thực hiện đăng ký, kê khai và nộp thuế GTGT theo quy định của Bộ trưởng Bộ Tài chính.</w:t>
      </w:r>
    </w:p>
    <w:p>
      <w:pPr>
        <w:spacing w:after="60" w:before="60" w:line="300"/>
        <w:ind w:firstLine="400"/>
        <w:jc w:val="both"/>
      </w:pPr>
      <w:r>
        <w:rPr>
          <w:rFonts w:ascii="Times New Roman" w:cs="Times New Roman" w:eastAsia="Times New Roman" w:hAnsi="Times New Roman"/>
          <w:sz w:val="26"/>
          <w:szCs w:val="26"/>
        </w:rPr>
        <w:t xml:space="preserve">3. Nhà quản lý sàn giao dịch thương mại điện tử, nền tảng số có trách nhiệm khấu trừ, khai và nộp thay thuế GTGT của các hộ kinh doanh, cá nhân kinh doanh trên sàn.</w:t>
      </w:r>
    </w:p>
    <w:p>
      <w:pPr>
        <w:spacing w:after="100" w:before="200"/>
      </w:pPr>
      <w:r>
        <w:rPr>
          <w:rFonts w:ascii="Times New Roman" w:cs="Times New Roman" w:eastAsia="Times New Roman" w:hAnsi="Times New Roman"/>
          <w:b/>
          <w:bCs/>
          <w:sz w:val="26"/>
          <w:szCs w:val="26"/>
        </w:rPr>
        <w:t xml:space="preserve">Điều 4. Đối tượng không chịu thuế</w:t>
      </w:r>
    </w:p>
    <w:p>
      <w:pPr>
        <w:spacing w:after="60" w:before="60" w:line="300"/>
        <w:ind w:firstLine="400"/>
        <w:jc w:val="both"/>
      </w:pPr>
      <w:r>
        <w:rPr>
          <w:rFonts w:ascii="Times New Roman" w:cs="Times New Roman" w:eastAsia="Times New Roman" w:hAnsi="Times New Roman"/>
          <w:sz w:val="26"/>
          <w:szCs w:val="26"/>
        </w:rPr>
        <w:t xml:space="preserve">Quy định chi tiết 26 nhóm hàng hóa, dịch vụ không chịu thuế GTGT, trong đó: Chuyển mặt hàng phân bón, máy móc thiết bị chuyên dùng phục vụ sản xuất nông nghiệp, tàu đánh bắt thủy sản xa bờ từ đối tượng không chịu thuế sang đối tượng chịu thuế suất 5% để tạo điều kiện cho doanh nghiệp sản xuất trong nước được khấu trừ, hoàn thuế GTGT đầu vào.</w:t>
      </w:r>
    </w:p>
    <w:p>
      <w:pPr>
        <w:spacing w:after="100" w:before="200"/>
      </w:pPr>
      <w:r>
        <w:rPr>
          <w:rFonts w:ascii="Times New Roman" w:cs="Times New Roman" w:eastAsia="Times New Roman" w:hAnsi="Times New Roman"/>
          <w:b/>
          <w:bCs/>
          <w:sz w:val="26"/>
          <w:szCs w:val="26"/>
        </w:rPr>
        <w:t xml:space="preserve">Chương II</w:t>
      </w:r>
    </w:p>
    <w:p>
      <w:pPr>
        <w:spacing w:after="60" w:before="60" w:line="300"/>
        <w:ind w:firstLine="400"/>
        <w:jc w:val="both"/>
      </w:pPr>
      <w:r>
        <w:rPr>
          <w:rFonts w:ascii="Times New Roman" w:cs="Times New Roman" w:eastAsia="Times New Roman" w:hAnsi="Times New Roman"/>
          <w:sz w:val="26"/>
          <w:szCs w:val="26"/>
        </w:rPr>
        <w:t xml:space="preserve">CĂN CỨ VÀ PHƯƠNG PHÁP TÍNH THUẾ</w:t>
      </w:r>
    </w:p>
    <w:p>
      <w:pPr>
        <w:spacing w:after="100" w:before="200"/>
      </w:pPr>
      <w:r>
        <w:rPr>
          <w:rFonts w:ascii="Times New Roman" w:cs="Times New Roman" w:eastAsia="Times New Roman" w:hAnsi="Times New Roman"/>
          <w:b/>
          <w:bCs/>
          <w:sz w:val="26"/>
          <w:szCs w:val="26"/>
        </w:rPr>
        <w:t xml:space="preserve">Điều 5. Thuế suất</w:t>
      </w:r>
    </w:p>
    <w:p>
      <w:pPr>
        <w:spacing w:after="60" w:before="60" w:line="300"/>
        <w:ind w:firstLine="400"/>
        <w:jc w:val="both"/>
      </w:pPr>
      <w:r>
        <w:rPr>
          <w:rFonts w:ascii="Times New Roman" w:cs="Times New Roman" w:eastAsia="Times New Roman" w:hAnsi="Times New Roman"/>
          <w:sz w:val="26"/>
          <w:szCs w:val="26"/>
        </w:rPr>
        <w:t xml:space="preserve">1. Thuế suất 0%: Áp dụng đối với hàng hóa, dịch vụ xuất khẩu, hoạt động xây dựng, lắp đặt công trình ở nước ngoài và trong khu phi thuế quan, vận tải quốc tế.</w:t>
      </w:r>
    </w:p>
    <w:p>
      <w:pPr>
        <w:spacing w:after="60" w:before="60" w:line="300"/>
        <w:ind w:firstLine="400"/>
        <w:jc w:val="both"/>
      </w:pPr>
      <w:r>
        <w:rPr>
          <w:rFonts w:ascii="Times New Roman" w:cs="Times New Roman" w:eastAsia="Times New Roman" w:hAnsi="Times New Roman"/>
          <w:sz w:val="26"/>
          <w:szCs w:val="26"/>
        </w:rPr>
        <w:t xml:space="preserve">2. Thuế suất 5%: Áp dụng đối với nước sạch phục vụ sản xuất và sinh hoạt; quặng để sản xuất phân bón; thuốc phòng trừ sâu bệnh; phân bón; sản phẩm cây trồng, rừng trồng, chăn nuôi, thủy sản chưa chế biến; thiết bị y tế; thuốc chữa bệnh; giáo cụ giảng dạy.</w:t>
      </w:r>
    </w:p>
    <w:p>
      <w:pPr>
        <w:spacing w:after="60" w:before="60" w:line="300"/>
        <w:ind w:firstLine="400"/>
        <w:jc w:val="both"/>
      </w:pPr>
      <w:r>
        <w:rPr>
          <w:rFonts w:ascii="Times New Roman" w:cs="Times New Roman" w:eastAsia="Times New Roman" w:hAnsi="Times New Roman"/>
          <w:sz w:val="26"/>
          <w:szCs w:val="26"/>
        </w:rPr>
        <w:t xml:space="preserve">3. Thuế suất 10%: Áp dụng đối với hàng hóa, dịch vụ không quy định tại khoản 1 và khoản 2 Điều này.</w:t>
      </w:r>
    </w:p>
    <w:p>
      <w:pPr>
        <w:spacing w:after="100" w:before="200"/>
      </w:pPr>
      <w:r>
        <w:rPr>
          <w:rFonts w:ascii="Times New Roman" w:cs="Times New Roman" w:eastAsia="Times New Roman" w:hAnsi="Times New Roman"/>
          <w:b/>
          <w:bCs/>
          <w:sz w:val="26"/>
          <w:szCs w:val="26"/>
        </w:rPr>
        <w:t xml:space="preserve">Chương III</w:t>
      </w:r>
    </w:p>
    <w:p>
      <w:pPr>
        <w:spacing w:after="60" w:before="60" w:line="300"/>
        <w:ind w:firstLine="400"/>
        <w:jc w:val="both"/>
      </w:pPr>
      <w:r>
        <w:rPr>
          <w:rFonts w:ascii="Times New Roman" w:cs="Times New Roman" w:eastAsia="Times New Roman" w:hAnsi="Times New Roman"/>
          <w:sz w:val="26"/>
          <w:szCs w:val="26"/>
        </w:rPr>
        <w:t xml:space="preserve">KHẤU TRỪ VÀ HOÀN THUẾ</w:t>
      </w:r>
    </w:p>
    <w:p>
      <w:pPr>
        <w:spacing w:after="100" w:before="200"/>
      </w:pPr>
      <w:r>
        <w:rPr>
          <w:rFonts w:ascii="Times New Roman" w:cs="Times New Roman" w:eastAsia="Times New Roman" w:hAnsi="Times New Roman"/>
          <w:b/>
          <w:bCs/>
          <w:sz w:val="26"/>
          <w:szCs w:val="26"/>
        </w:rPr>
        <w:t xml:space="preserve">Điều 6. Điều kiện khấu trừ thuế GTGT đầu vào</w:t>
      </w:r>
    </w:p>
    <w:p>
      <w:pPr>
        <w:spacing w:after="60" w:before="60" w:line="300"/>
        <w:ind w:firstLine="400"/>
        <w:jc w:val="both"/>
      </w:pPr>
      <w:r>
        <w:rPr>
          <w:rFonts w:ascii="Times New Roman" w:cs="Times New Roman" w:eastAsia="Times New Roman" w:hAnsi="Times New Roman"/>
          <w:sz w:val="26"/>
          <w:szCs w:val="26"/>
        </w:rPr>
        <w:t xml:space="preserve">1. Có hóa đơn giá trị gia tăng hợp pháp hoặc chứng từ nộp thuế giá trị gia tăng ở khâu nhập khẩu hoặc chứng từ nộp thuế giá trị gia tăng thay cho phía nước ngoài.</w:t>
      </w:r>
    </w:p>
    <w:p>
      <w:pPr>
        <w:spacing w:after="60" w:before="60" w:line="300"/>
        <w:ind w:firstLine="400"/>
        <w:jc w:val="both"/>
      </w:pPr>
      <w:r>
        <w:rPr>
          <w:rFonts w:ascii="Times New Roman" w:cs="Times New Roman" w:eastAsia="Times New Roman" w:hAnsi="Times New Roman"/>
          <w:sz w:val="26"/>
          <w:szCs w:val="26"/>
        </w:rPr>
        <w:t xml:space="preserve">2. Có chứng từ thanh toán không dùng tiền mặt đối với hàng hóa, dịch vụ mua vào (bao gồm cả hàng hóa nhập khẩu) từ 05 triệu đồng trở lên.</w:t>
      </w:r>
    </w:p>
    <w:p>
      <w:pPr>
        <w:spacing w:after="100" w:before="200"/>
      </w:pPr>
      <w:r>
        <w:rPr>
          <w:rFonts w:ascii="Times New Roman" w:cs="Times New Roman" w:eastAsia="Times New Roman" w:hAnsi="Times New Roman"/>
          <w:b/>
          <w:bCs/>
          <w:sz w:val="26"/>
          <w:szCs w:val="26"/>
        </w:rPr>
        <w:t xml:space="preserve">Điều 7. Các trường hợp hoàn thuế GTGT</w:t>
      </w:r>
    </w:p>
    <w:p>
      <w:pPr>
        <w:spacing w:after="60" w:before="60" w:line="300"/>
        <w:ind w:firstLine="400"/>
        <w:jc w:val="both"/>
      </w:pPr>
      <w:r>
        <w:rPr>
          <w:rFonts w:ascii="Times New Roman" w:cs="Times New Roman" w:eastAsia="Times New Roman" w:hAnsi="Times New Roman"/>
          <w:sz w:val="26"/>
          <w:szCs w:val="26"/>
        </w:rPr>
        <w:t xml:space="preserve">1. Cơ sở kinh doanh nộp thuế theo phương pháp khấu trừ có dự án đầu tư mới đang trong giai đoạn đầu tư có số thuế GTGT đầu vào chưa được khấu trừ từ 300 triệu đồng trở lên.</w:t>
      </w:r>
    </w:p>
    <w:p>
      <w:pPr>
        <w:spacing w:after="60" w:before="60" w:line="300"/>
        <w:ind w:firstLine="400"/>
        <w:jc w:val="both"/>
      </w:pPr>
      <w:r>
        <w:rPr>
          <w:rFonts w:ascii="Times New Roman" w:cs="Times New Roman" w:eastAsia="Times New Roman" w:hAnsi="Times New Roman"/>
          <w:sz w:val="26"/>
          <w:szCs w:val="26"/>
        </w:rPr>
        <w:t xml:space="preserve">2. Cơ sở kinh doanh trong tháng, quý có hàng hóa, dịch vụ xuất khẩu có số thuế GTGT đầu vào chưa được khấu trừ từ 300 triệu đồng trở lên.</w:t>
      </w:r>
    </w:p>
    <w:p>
      <w:pPr>
        <w:spacing w:after="60" w:before="60" w:line="300"/>
        <w:ind w:firstLine="400"/>
        <w:jc w:val="both"/>
      </w:pPr>
      <w:r>
        <w:rPr>
          <w:rFonts w:ascii="Times New Roman" w:cs="Times New Roman" w:eastAsia="Times New Roman" w:hAnsi="Times New Roman"/>
          <w:sz w:val="26"/>
          <w:szCs w:val="26"/>
        </w:rPr>
        <w:t xml:space="preserve">3. Cơ sở kinh doanh sản xuất hàng hóa, cung cấp dịch vụ chịu thuế suất 5% nếu có số thuế GTGT đầu vào chưa được khấu trừ hết sau 12 tháng hoặc 04 quý liên tục.</w:t>
      </w:r>
    </w:p>
    <w:p>
      <w:pPr>
        <w:spacing w:after="100" w:before="200"/>
      </w:pPr>
      <w:r>
        <w:rPr>
          <w:rFonts w:ascii="Times New Roman" w:cs="Times New Roman" w:eastAsia="Times New Roman" w:hAnsi="Times New Roman"/>
          <w:b/>
          <w:bCs/>
          <w:sz w:val="26"/>
          <w:szCs w:val="26"/>
        </w:rPr>
        <w:t xml:space="preserve">Chương IV</w:t>
      </w:r>
    </w:p>
    <w:p>
      <w:pPr>
        <w:spacing w:after="60" w:before="60" w:line="300"/>
        <w:ind w:firstLine="400"/>
        <w:jc w:val="both"/>
      </w:pPr>
      <w:r>
        <w:rPr>
          <w:rFonts w:ascii="Times New Roman" w:cs="Times New Roman" w:eastAsia="Times New Roman" w:hAnsi="Times New Roman"/>
          <w:sz w:val="26"/>
          <w:szCs w:val="26"/>
        </w:rPr>
        <w:t xml:space="preserve">ĐIỀU KHOẢN THI HÀNH</w:t>
      </w:r>
    </w:p>
    <w:p>
      <w:pPr>
        <w:spacing w:after="100" w:before="200"/>
      </w:pPr>
      <w:r>
        <w:rPr>
          <w:rFonts w:ascii="Times New Roman" w:cs="Times New Roman" w:eastAsia="Times New Roman" w:hAnsi="Times New Roman"/>
          <w:b/>
          <w:bCs/>
          <w:sz w:val="26"/>
          <w:szCs w:val="26"/>
        </w:rPr>
        <w:t xml:space="preserve">Điều 8. Hiệu lực thi hành</w:t>
      </w:r>
    </w:p>
    <w:p>
      <w:pPr>
        <w:spacing w:after="60" w:before="60" w:line="300"/>
        <w:ind w:firstLine="400"/>
        <w:jc w:val="both"/>
      </w:pPr>
      <w:r>
        <w:rPr>
          <w:rFonts w:ascii="Times New Roman" w:cs="Times New Roman" w:eastAsia="Times New Roman" w:hAnsi="Times New Roman"/>
          <w:sz w:val="26"/>
          <w:szCs w:val="26"/>
        </w:rPr>
        <w:t xml:space="preserve">Luật này có hiệu lực thi hành từ ngày 01 tháng 7 năm 2025. Luật Thuế Giá trị gia tăng số 13/2008/QH12 (đã được sửa đổi, bổ sung) hết hiệu lực kể từ ngày Luật này có hiệu lực thi hành.</w:t>
      </w:r>
    </w:p>
    <w:p>
      <w:pPr>
        <w:spacing w:after="60" w:before="60" w:line="300"/>
        <w:ind w:firstLine="400"/>
        <w:jc w:val="both"/>
      </w:pPr>
      <w:r>
        <w:rPr>
          <w:rFonts w:ascii="Times New Roman" w:cs="Times New Roman" w:eastAsia="Times New Roman" w:hAnsi="Times New Roman"/>
          <w:sz w:val="26"/>
          <w:szCs w:val="26"/>
        </w:rPr>
        <w:t xml:space="preserve">QUỐC HỘI</w:t>
      </w:r>
    </w:p>
    <w:p>
      <w:pPr>
        <w:spacing w:after="60" w:before="60" w:line="300"/>
        <w:ind w:firstLine="400"/>
        <w:jc w:val="both"/>
      </w:pPr>
      <w:r>
        <w:rPr>
          <w:rFonts w:ascii="Times New Roman" w:cs="Times New Roman" w:eastAsia="Times New Roman" w:hAnsi="Times New Roman"/>
          <w:sz w:val="26"/>
          <w:szCs w:val="26"/>
        </w:rPr>
        <w:t xml:space="preserve">CHỦ TỊCH QUỐC HỘI</w:t>
      </w:r>
    </w:p>
    <w:p>
      <w:pPr>
        <w:spacing w:after="60" w:before="60" w:line="300"/>
        <w:ind w:firstLine="400"/>
        <w:jc w:val="both"/>
      </w:pPr>
      <w:r>
        <w:rPr>
          <w:rFonts w:ascii="Times New Roman" w:cs="Times New Roman" w:eastAsia="Times New Roman" w:hAnsi="Times New Roman"/>
          <w:sz w:val="26"/>
          <w:szCs w:val="26"/>
        </w:rPr>
        <w:t xml:space="preserve">Trần Thanh Mẫn</w:t>
      </w:r>
    </w:p>
    <w:tbl>
      <w:tblPr>
        <w:tblW w:type="pct" w:w="100%"/>
        <w:tblBorders>
          <w:top w:val="none"/>
          <w:left w:val="none"/>
          <w:bottom w:val="none"/>
          <w:right w:val="none"/>
          <w:insideH w:val="none"/>
          <w:insideV w:val="none"/>
        </w:tblBorders>
      </w:tblPr>
      <w:tblGrid>
        <w:gridCol w:w="100"/>
        <w:gridCol w:w="100"/>
      </w:tblGrid>
      <w:tr>
        <w:tc>
          <w:tcPr>
            <w:tcW w:type="pct" w:w="50%"/>
          </w:tcPr>
          <w:p>
            <w:pPr>
              <w:spacing w:before="240"/>
            </w:pPr>
            <w:r>
              <w:rPr>
                <w:rFonts w:ascii="Times New Roman" w:cs="Times New Roman" w:eastAsia="Times New Roman" w:hAnsi="Times New Roman"/>
                <w:b/>
                <w:bCs/>
                <w:i/>
                <w:iCs/>
                <w:sz w:val="22"/>
                <w:szCs w:val="22"/>
              </w:rPr>
              <w:t xml:space="preserve">Nơi nhận:</w:t>
            </w:r>
          </w:p>
          <w:p>
            <w:r>
              <w:rPr>
                <w:rFonts w:ascii="Times New Roman" w:cs="Times New Roman" w:eastAsia="Times New Roman" w:hAnsi="Times New Roman"/>
                <w:sz w:val="20"/>
                <w:szCs w:val="20"/>
              </w:rPr>
              <w:t xml:space="preserve">- Như trên;
- Ban Giám đốc;
- Lưu: VT, Hồ sơ.</w:t>
            </w:r>
          </w:p>
        </w:tc>
        <w:tc>
          <w:tcPr>
            <w:tcW w:type="pct" w:w="50%"/>
          </w:tcPr>
          <w:p>
            <w:pPr>
              <w:spacing w:before="240"/>
              <w:jc w:val="center"/>
            </w:pPr>
            <w:r>
              <w:rPr>
                <w:rFonts w:ascii="Times New Roman" w:cs="Times New Roman" w:eastAsia="Times New Roman" w:hAnsi="Times New Roman"/>
                <w:b/>
                <w:bCs/>
                <w:sz w:val="24"/>
                <w:szCs w:val="24"/>
              </w:rPr>
              <w:t xml:space="preserve">THỦ TRƯỞNG CƠ QUAN</w:t>
            </w:r>
          </w:p>
          <w:p>
            <w:pPr>
              <w:spacing w:before="600"/>
              <w:jc w:val="center"/>
            </w:pPr>
            <w:r>
              <w:rPr>
                <w:rFonts w:ascii="Times New Roman" w:cs="Times New Roman" w:eastAsia="Times New Roman" w:hAnsi="Times New Roman"/>
                <w:b/>
                <w:bCs/>
                <w:sz w:val="26"/>
                <w:szCs w:val="26"/>
              </w:rPr>
              <w:t xml:space="preserve">Trần Thanh Mẫn</w:t>
            </w:r>
          </w:p>
        </w:tc>
      </w:tr>
    </w:tbl>
    <w:sectPr>
      <w:pgSz w:w="11906" w:h="16838" w:orient="portrait"/>
      <w:pgMar w:top="1440" w:right="1134"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2026-08-29T13:08:37.140Z</dcterms:created>
  <dcterms:modified xsi:type="dcterms:W3CDTF">2026-08-29T13:08:37.140Z</dcterms:modified>
</cp:coreProperties>
</file>

<file path=docProps/custom.xml><?xml version="1.0" encoding="utf-8"?>
<Properties xmlns="http://schemas.openxmlformats.org/officeDocument/2006/custom-properties" xmlns:vt="http://schemas.openxmlformats.org/officeDocument/2006/docPropsVTypes"/>
</file>