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QUỐC HỘI</w:t>
            </w:r>
          </w:p>
          <w:p>
            <w:pPr>
              <w:spacing w:after="120" w:before="80"/>
              <w:jc w:val="center"/>
            </w:pPr>
            <w:r>
              <w:rPr>
                <w:rFonts w:ascii="Times New Roman" w:cs="Times New Roman" w:eastAsia="Times New Roman" w:hAnsi="Times New Roman"/>
                <w:sz w:val="24"/>
                <w:szCs w:val="24"/>
              </w:rPr>
              <w:t xml:space="preserve">Số: 56/2024/QH15</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29/11/2024</w:t>
            </w:r>
          </w:p>
        </w:tc>
      </w:tr>
    </w:tbl>
    <w:p>
      <w:pPr>
        <w:spacing w:after="240" w:before="360"/>
        <w:jc w:val="center"/>
      </w:pPr>
      <w:r>
        <w:rPr>
          <w:rFonts w:ascii="Times New Roman" w:cs="Times New Roman" w:eastAsia="Times New Roman" w:hAnsi="Times New Roman"/>
          <w:b/>
          <w:bCs/>
          <w:sz w:val="28"/>
          <w:szCs w:val="28"/>
        </w:rPr>
        <w:t xml:space="preserve">LUẬT SỐ 56/2024/QH15 SỬA ĐỔI, BỔ SUNG 9 LUẬT TRONG LĨNH VỰC TÀI CHÍNH, KẾ TOÁN, KIỂM TOÁN, THUẾ</w:t>
      </w:r>
    </w:p>
    <w:p>
      <w:pPr>
        <w:spacing w:after="60" w:before="60" w:line="300"/>
        <w:ind w:firstLine="400"/>
        <w:jc w:val="both"/>
      </w:pPr>
      <w:r>
        <w:rPr>
          <w:rFonts w:ascii="Times New Roman" w:cs="Times New Roman" w:eastAsia="Times New Roman" w:hAnsi="Times New Roman"/>
          <w:sz w:val="26"/>
          <w:szCs w:val="26"/>
        </w:rPr>
        <w:t xml:space="preserve">QUỐC HỘI</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56/2024/QH15</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29 tháng 11 năm 2024</w:t>
      </w:r>
    </w:p>
    <w:p>
      <w:pPr>
        <w:spacing w:after="60" w:before="60" w:line="300"/>
        <w:ind w:firstLine="400"/>
        <w:jc w:val="both"/>
      </w:pPr>
      <w:r>
        <w:rPr>
          <w:rFonts w:ascii="Times New Roman" w:cs="Times New Roman" w:eastAsia="Times New Roman" w:hAnsi="Times New Roman"/>
          <w:sz w:val="26"/>
          <w:szCs w:val="26"/>
        </w:rPr>
        <w:t xml:space="preserve">LUẬT</w:t>
      </w:r>
    </w:p>
    <w:p>
      <w:pPr>
        <w:spacing w:after="60" w:before="60" w:line="300"/>
        <w:ind w:firstLine="400"/>
        <w:jc w:val="both"/>
      </w:pPr>
      <w:r>
        <w:rPr>
          <w:rFonts w:ascii="Times New Roman" w:cs="Times New Roman" w:eastAsia="Times New Roman" w:hAnsi="Times New Roman"/>
          <w:sz w:val="26"/>
          <w:szCs w:val="26"/>
        </w:rPr>
        <w:t xml:space="preserve">Sửa đổi, bổ sung một số điều của Luật Chứng khoán, Luật Kế toán, Luật Kiểm toán độc lập, Luật Ngân sách nhà nước, Luật Quản lý, sử dụng tài sản công, Luật Quản lý thuế, Luật Dự trữ quốc gia, Luật Xử lý vi phạm hành chính</w:t>
      </w:r>
    </w:p>
    <w:p>
      <w:pPr>
        <w:spacing w:after="60" w:before="60" w:line="300"/>
        <w:ind w:firstLine="400"/>
        <w:jc w:val="both"/>
      </w:pPr>
      <w:r>
        <w:rPr>
          <w:rFonts w:ascii="Times New Roman" w:cs="Times New Roman" w:eastAsia="Times New Roman" w:hAnsi="Times New Roman"/>
          <w:sz w:val="26"/>
          <w:szCs w:val="26"/>
        </w:rPr>
        <w:t xml:space="preserve">Căn cứ Hiến pháp nước 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Quốc hội ban hành Luật số 56/2024/QH15 sửa đổi, bổ sung một số điều của 9 Luật trong lĩnh vực tài chính, kế toán, thuế.</w:t>
      </w:r>
    </w:p>
    <w:p>
      <w:pPr>
        <w:spacing w:after="100" w:before="200"/>
      </w:pPr>
      <w:r>
        <w:rPr>
          <w:rFonts w:ascii="Times New Roman" w:cs="Times New Roman" w:eastAsia="Times New Roman" w:hAnsi="Times New Roman"/>
          <w:b/>
          <w:bCs/>
          <w:sz w:val="26"/>
          <w:szCs w:val="26"/>
        </w:rPr>
        <w:t xml:space="preserve">Điều 1. Sửa đổi, bổ sung một số điều của Luật Kế toán số 88/2015/QH13</w:t>
      </w:r>
    </w:p>
    <w:p>
      <w:pPr>
        <w:spacing w:after="60" w:before="60" w:line="300"/>
        <w:ind w:firstLine="400"/>
        <w:jc w:val="both"/>
      </w:pPr>
      <w:r>
        <w:rPr>
          <w:rFonts w:ascii="Times New Roman" w:cs="Times New Roman" w:eastAsia="Times New Roman" w:hAnsi="Times New Roman"/>
          <w:sz w:val="26"/>
          <w:szCs w:val="26"/>
        </w:rPr>
        <w:t xml:space="preserve">1. Bổ sung quy định về nguyên tắc giá trị hợp lý trong việc đánh giá lại tài sản và nợ phải trả theo Chuẩn mực Báo cáo Tài chính Quốc tế (IFRS).</w:t>
      </w:r>
    </w:p>
    <w:p>
      <w:pPr>
        <w:spacing w:after="60" w:before="60" w:line="300"/>
        <w:ind w:firstLine="400"/>
        <w:jc w:val="both"/>
      </w:pPr>
      <w:r>
        <w:rPr>
          <w:rFonts w:ascii="Times New Roman" w:cs="Times New Roman" w:eastAsia="Times New Roman" w:hAnsi="Times New Roman"/>
          <w:sz w:val="26"/>
          <w:szCs w:val="26"/>
        </w:rPr>
        <w:t xml:space="preserve">2. Đẩy mạnh áp dụng hoàn toàn chứng từ điện tử, chữ ký số và cho phép lưu trữ hồ sơ kế toán trên nền tảng điện toán đám mây bảo mật.</w:t>
      </w:r>
    </w:p>
    <w:p>
      <w:pPr>
        <w:spacing w:after="100" w:before="200"/>
      </w:pPr>
      <w:r>
        <w:rPr>
          <w:rFonts w:ascii="Times New Roman" w:cs="Times New Roman" w:eastAsia="Times New Roman" w:hAnsi="Times New Roman"/>
          <w:b/>
          <w:bCs/>
          <w:sz w:val="26"/>
          <w:szCs w:val="26"/>
        </w:rPr>
        <w:t xml:space="preserve">Điều 2. Sửa đổi, bổ sung một số điều của Luật Kiểm toán độc lập số 67/2011/QH12</w:t>
      </w:r>
    </w:p>
    <w:p>
      <w:pPr>
        <w:spacing w:after="60" w:before="60" w:line="300"/>
        <w:ind w:firstLine="400"/>
        <w:jc w:val="both"/>
      </w:pPr>
      <w:r>
        <w:rPr>
          <w:rFonts w:ascii="Times New Roman" w:cs="Times New Roman" w:eastAsia="Times New Roman" w:hAnsi="Times New Roman"/>
          <w:sz w:val="26"/>
          <w:szCs w:val="26"/>
        </w:rPr>
        <w:t xml:space="preserve">1. Nâng cao trách nhiệm pháp lý của kiểm toán viên hành nghề và doanh nghiệp kiểm toán trong việc phát hiện gian lận và sai sót trọng yếu.</w:t>
      </w:r>
    </w:p>
    <w:p>
      <w:pPr>
        <w:spacing w:after="60" w:before="60" w:line="300"/>
        <w:ind w:firstLine="400"/>
        <w:jc w:val="both"/>
      </w:pPr>
      <w:r>
        <w:rPr>
          <w:rFonts w:ascii="Times New Roman" w:cs="Times New Roman" w:eastAsia="Times New Roman" w:hAnsi="Times New Roman"/>
          <w:sz w:val="26"/>
          <w:szCs w:val="26"/>
        </w:rPr>
        <w:t xml:space="preserve">2. Quy định thời hạn luân chuyển kiểm toán viên ký báo cáo kiểm toán tối đa 05 năm liên tục đối với các đơn vị có lợi ích công chúng.</w:t>
      </w:r>
    </w:p>
    <w:p>
      <w:pPr>
        <w:spacing w:after="100" w:before="200"/>
      </w:pPr>
      <w:r>
        <w:rPr>
          <w:rFonts w:ascii="Times New Roman" w:cs="Times New Roman" w:eastAsia="Times New Roman" w:hAnsi="Times New Roman"/>
          <w:b/>
          <w:bCs/>
          <w:sz w:val="26"/>
          <w:szCs w:val="26"/>
        </w:rPr>
        <w:t xml:space="preserve">Điều 3. Hiệu lực thi hành</w:t>
      </w:r>
    </w:p>
    <w:p>
      <w:pPr>
        <w:spacing w:after="60" w:before="60" w:line="300"/>
        <w:ind w:firstLine="400"/>
        <w:jc w:val="both"/>
      </w:pPr>
      <w:r>
        <w:rPr>
          <w:rFonts w:ascii="Times New Roman" w:cs="Times New Roman" w:eastAsia="Times New Roman" w:hAnsi="Times New Roman"/>
          <w:sz w:val="26"/>
          <w:szCs w:val="26"/>
        </w:rPr>
        <w:t xml:space="preserve">Luật này có hiệu lực thi hành từ ngày 01 tháng 01 năm 2025.</w:t>
      </w:r>
    </w:p>
    <w:p>
      <w:pPr>
        <w:spacing w:after="60" w:before="60" w:line="300"/>
        <w:ind w:firstLine="400"/>
        <w:jc w:val="both"/>
      </w:pPr>
      <w:r>
        <w:rPr>
          <w:rFonts w:ascii="Times New Roman" w:cs="Times New Roman" w:eastAsia="Times New Roman" w:hAnsi="Times New Roman"/>
          <w:sz w:val="26"/>
          <w:szCs w:val="26"/>
        </w:rPr>
        <w:t xml:space="preserve">QUỐC HỘI</w:t>
      </w:r>
    </w:p>
    <w:p>
      <w:pPr>
        <w:spacing w:after="60" w:before="60" w:line="300"/>
        <w:ind w:firstLine="400"/>
        <w:jc w:val="both"/>
      </w:pPr>
      <w:r>
        <w:rPr>
          <w:rFonts w:ascii="Times New Roman" w:cs="Times New Roman" w:eastAsia="Times New Roman" w:hAnsi="Times New Roman"/>
          <w:sz w:val="26"/>
          <w:szCs w:val="26"/>
        </w:rPr>
        <w:t xml:space="preserve">CHỦ TỊCH QUỐC HỘI</w:t>
      </w:r>
    </w:p>
    <w:p>
      <w:pPr>
        <w:spacing w:after="60" w:before="60" w:line="300"/>
        <w:ind w:firstLine="400"/>
        <w:jc w:val="both"/>
      </w:pPr>
      <w:r>
        <w:rPr>
          <w:rFonts w:ascii="Times New Roman" w:cs="Times New Roman" w:eastAsia="Times New Roman" w:hAnsi="Times New Roman"/>
          <w:sz w:val="26"/>
          <w:szCs w:val="26"/>
        </w:rPr>
        <w:t xml:space="preserve">Trần Thanh Mẫn</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Trần Thanh Mẫn</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2026-08-29T13:08:37.168Z</dcterms:created>
  <dcterms:modified xsi:type="dcterms:W3CDTF">2026-08-29T13:08:37.168Z</dcterms:modified>
</cp:coreProperties>
</file>

<file path=docProps/custom.xml><?xml version="1.0" encoding="utf-8"?>
<Properties xmlns="http://schemas.openxmlformats.org/officeDocument/2006/custom-properties" xmlns:vt="http://schemas.openxmlformats.org/officeDocument/2006/docPropsVTypes"/>
</file>