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67/2011/QH12</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29/03/2011</w:t>
            </w:r>
          </w:p>
        </w:tc>
      </w:tr>
    </w:tbl>
    <w:p>
      <w:pPr>
        <w:spacing w:after="240" w:before="360"/>
        <w:jc w:val="center"/>
      </w:pPr>
      <w:r>
        <w:rPr>
          <w:rFonts w:ascii="Times New Roman" w:cs="Times New Roman" w:eastAsia="Times New Roman" w:hAnsi="Times New Roman"/>
          <w:b/>
          <w:bCs/>
          <w:sz w:val="28"/>
          <w:szCs w:val="28"/>
        </w:rPr>
        <w:t xml:space="preserve">LUẬT KIỂM TOÁN ĐỘC LẬP SỐ 67/2011/QH12</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67/2011/QH12</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29 tháng 3 năm 2011</w:t>
      </w:r>
    </w:p>
    <w:p>
      <w:pPr>
        <w:spacing w:after="60" w:before="60" w:line="300"/>
        <w:ind w:firstLine="400"/>
        <w:jc w:val="both"/>
      </w:pPr>
      <w:r>
        <w:rPr>
          <w:rFonts w:ascii="Times New Roman" w:cs="Times New Roman" w:eastAsia="Times New Roman" w:hAnsi="Times New Roman"/>
          <w:sz w:val="26"/>
          <w:szCs w:val="26"/>
        </w:rPr>
        <w:t xml:space="preserve">LUẬT KIỂM TOÁN ĐỘC LẬP</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Kiểm toán độc lập số 67/2011/QH12.</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nguyên tắc, điều kiện, phạm vi hoạt động kiểm toán độc lập; quyền, nghĩa vụ của kiểm toán viên hành nghề, doanh nghiệp kiểm toán, chi nhánh doanh nghiệp kiểm toán nước ngoài tại Việt Nam và đơn vị được kiểm toán.</w:t>
      </w:r>
    </w:p>
    <w:p>
      <w:pPr>
        <w:spacing w:after="100" w:before="200"/>
      </w:pPr>
      <w:r>
        <w:rPr>
          <w:rFonts w:ascii="Times New Roman" w:cs="Times New Roman" w:eastAsia="Times New Roman" w:hAnsi="Times New Roman"/>
          <w:b/>
          <w:bCs/>
          <w:sz w:val="26"/>
          <w:szCs w:val="26"/>
        </w:rPr>
        <w:t xml:space="preserve">Điều 2. Giá trị của báo cáo kiểm toán</w:t>
      </w:r>
    </w:p>
    <w:p>
      <w:pPr>
        <w:spacing w:after="60" w:before="60" w:line="300"/>
        <w:ind w:firstLine="400"/>
        <w:jc w:val="both"/>
      </w:pPr>
      <w:r>
        <w:rPr>
          <w:rFonts w:ascii="Times New Roman" w:cs="Times New Roman" w:eastAsia="Times New Roman" w:hAnsi="Times New Roman"/>
          <w:sz w:val="26"/>
          <w:szCs w:val="26"/>
        </w:rPr>
        <w:t xml:space="preserve">1. Báo cáo kiểm toán về báo cáo tài chính đánh giá tính trung thực và hợp lý của báo cáo tài chính, phù hợp với chuẩn mực kế toán, chế độ kế toán do cơ quan nhà nước có thẩm quyền ban hành.</w:t>
      </w:r>
    </w:p>
    <w:p>
      <w:pPr>
        <w:spacing w:after="60" w:before="60" w:line="300"/>
        <w:ind w:firstLine="400"/>
        <w:jc w:val="both"/>
      </w:pPr>
      <w:r>
        <w:rPr>
          <w:rFonts w:ascii="Times New Roman" w:cs="Times New Roman" w:eastAsia="Times New Roman" w:hAnsi="Times New Roman"/>
          <w:sz w:val="26"/>
          <w:szCs w:val="26"/>
        </w:rPr>
        <w:t xml:space="preserve">2. Báo cáo kiểm toán được sử dụng để: Cơ quan nhà nước quản lý, điều hành; chủ sở hữu, nhà đầu tư, khách hàng, chủ nợ đánh giá tình hình hoạt động và đưa ra quyết định kinh tế.</w:t>
      </w:r>
    </w:p>
    <w:p>
      <w:pPr>
        <w:spacing w:after="100" w:before="200"/>
      </w:pPr>
      <w:r>
        <w:rPr>
          <w:rFonts w:ascii="Times New Roman" w:cs="Times New Roman" w:eastAsia="Times New Roman" w:hAnsi="Times New Roman"/>
          <w:b/>
          <w:bCs/>
          <w:sz w:val="26"/>
          <w:szCs w:val="26"/>
        </w:rPr>
        <w:t xml:space="preserve">Điều 3. Đơn vị bắt buộc phải kiểm toán báo cáo tài chính</w:t>
      </w:r>
    </w:p>
    <w:p>
      <w:pPr>
        <w:spacing w:after="60" w:before="60" w:line="300"/>
        <w:ind w:firstLine="400"/>
        <w:jc w:val="both"/>
      </w:pPr>
      <w:r>
        <w:rPr>
          <w:rFonts w:ascii="Times New Roman" w:cs="Times New Roman" w:eastAsia="Times New Roman" w:hAnsi="Times New Roman"/>
          <w:sz w:val="26"/>
          <w:szCs w:val="26"/>
        </w:rPr>
        <w:t xml:space="preserve">1. Doanh nghiệp có vốn đầu tư nước ngoài.</w:t>
      </w:r>
    </w:p>
    <w:p>
      <w:pPr>
        <w:spacing w:after="60" w:before="60" w:line="300"/>
        <w:ind w:firstLine="400"/>
        <w:jc w:val="both"/>
      </w:pPr>
      <w:r>
        <w:rPr>
          <w:rFonts w:ascii="Times New Roman" w:cs="Times New Roman" w:eastAsia="Times New Roman" w:hAnsi="Times New Roman"/>
          <w:sz w:val="26"/>
          <w:szCs w:val="26"/>
        </w:rPr>
        <w:t xml:space="preserve">2. Tổ chức tín dụng được thành lập và hoạt động theo Luật các tổ chức tín dụng.</w:t>
      </w:r>
    </w:p>
    <w:p>
      <w:pPr>
        <w:spacing w:after="60" w:before="60" w:line="300"/>
        <w:ind w:firstLine="400"/>
        <w:jc w:val="both"/>
      </w:pPr>
      <w:r>
        <w:rPr>
          <w:rFonts w:ascii="Times New Roman" w:cs="Times New Roman" w:eastAsia="Times New Roman" w:hAnsi="Times New Roman"/>
          <w:sz w:val="26"/>
          <w:szCs w:val="26"/>
        </w:rPr>
        <w:t xml:space="preserve">3. Tổ chức tài chính, doanh nghiệp bảo hiểm, doanh nghiệp tái bảo hiểm, doanh nghiệp môi giới bảo hiểm.</w:t>
      </w:r>
    </w:p>
    <w:p>
      <w:pPr>
        <w:spacing w:after="60" w:before="60" w:line="300"/>
        <w:ind w:firstLine="400"/>
        <w:jc w:val="both"/>
      </w:pPr>
      <w:r>
        <w:rPr>
          <w:rFonts w:ascii="Times New Roman" w:cs="Times New Roman" w:eastAsia="Times New Roman" w:hAnsi="Times New Roman"/>
          <w:sz w:val="26"/>
          <w:szCs w:val="26"/>
        </w:rPr>
        <w:t xml:space="preserve">4. Công ty đại chúng, tổ chức phát hành và tổ chức kinh doanh chứng khoán.</w:t>
      </w:r>
    </w:p>
    <w:p>
      <w:pPr>
        <w:spacing w:after="60" w:before="60" w:line="300"/>
        <w:ind w:firstLine="400"/>
        <w:jc w:val="both"/>
      </w:pPr>
      <w:r>
        <w:rPr>
          <w:rFonts w:ascii="Times New Roman" w:cs="Times New Roman" w:eastAsia="Times New Roman" w:hAnsi="Times New Roman"/>
          <w:sz w:val="26"/>
          <w:szCs w:val="26"/>
        </w:rPr>
        <w:t xml:space="preserve">5. Doanh nghiệp nhà nước và các dự án quan trọng quốc gia.</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4.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01 năm 2012.</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Phú Trọng</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Phú Trọng</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2026-08-29T13:08:37.336Z</dcterms:created>
  <dcterms:modified xsi:type="dcterms:W3CDTF">2026-08-29T13:08:37.336Z</dcterms:modified>
</cp:coreProperties>
</file>

<file path=docProps/custom.xml><?xml version="1.0" encoding="utf-8"?>
<Properties xmlns="http://schemas.openxmlformats.org/officeDocument/2006/custom-properties" xmlns:vt="http://schemas.openxmlformats.org/officeDocument/2006/docPropsVTypes"/>
</file>