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QUỐC HỘI</w:t>
            </w:r>
          </w:p>
          <w:p>
            <w:pPr>
              <w:spacing w:after="120" w:before="80"/>
              <w:jc w:val="center"/>
            </w:pPr>
            <w:r>
              <w:rPr>
                <w:rFonts w:ascii="Times New Roman" w:cs="Times New Roman" w:eastAsia="Times New Roman" w:hAnsi="Times New Roman"/>
                <w:sz w:val="24"/>
                <w:szCs w:val="24"/>
              </w:rPr>
              <w:t xml:space="preserve">Số: 88/2015/QH13</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20/11/2015</w:t>
            </w:r>
          </w:p>
        </w:tc>
      </w:tr>
    </w:tbl>
    <w:p>
      <w:pPr>
        <w:spacing w:after="240" w:before="360"/>
        <w:jc w:val="center"/>
      </w:pPr>
      <w:r>
        <w:rPr>
          <w:rFonts w:ascii="Times New Roman" w:cs="Times New Roman" w:eastAsia="Times New Roman" w:hAnsi="Times New Roman"/>
          <w:b/>
          <w:bCs/>
          <w:sz w:val="28"/>
          <w:szCs w:val="28"/>
        </w:rPr>
        <w:t xml:space="preserve">LUẬT KẾ TOÁN SỐ 88/2015/QH13</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88/2015/QH13</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20 tháng 11 năm 2015</w:t>
      </w:r>
    </w:p>
    <w:p>
      <w:pPr>
        <w:spacing w:after="60" w:before="60" w:line="300"/>
        <w:ind w:firstLine="400"/>
        <w:jc w:val="both"/>
      </w:pPr>
      <w:r>
        <w:rPr>
          <w:rFonts w:ascii="Times New Roman" w:cs="Times New Roman" w:eastAsia="Times New Roman" w:hAnsi="Times New Roman"/>
          <w:sz w:val="26"/>
          <w:szCs w:val="26"/>
        </w:rPr>
        <w:t xml:space="preserve">LUẬT KẾ TOÁN</w:t>
      </w:r>
    </w:p>
    <w:p>
      <w:pPr>
        <w:spacing w:after="60" w:before="60" w:line="300"/>
        <w:ind w:firstLine="400"/>
        <w:jc w:val="both"/>
      </w:pPr>
      <w:r>
        <w:rPr>
          <w:rFonts w:ascii="Times New Roman" w:cs="Times New Roman" w:eastAsia="Times New Roman" w:hAnsi="Times New Roman"/>
          <w:sz w:val="26"/>
          <w:szCs w:val="26"/>
        </w:rPr>
        <w:t xml:space="preserve">Căn cứ Hiến pháp nước 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Quốc hội ban hành Luật Kế toán số 88/2015/QH13.</w:t>
      </w:r>
    </w:p>
    <w:p>
      <w:pPr>
        <w:spacing w:after="100" w:before="200"/>
      </w:pPr>
      <w:r>
        <w:rPr>
          <w:rFonts w:ascii="Times New Roman" w:cs="Times New Roman" w:eastAsia="Times New Roman" w:hAnsi="Times New Roman"/>
          <w:b/>
          <w:bCs/>
          <w:sz w:val="26"/>
          <w:szCs w:val="26"/>
        </w:rPr>
        <w:t xml:space="preserve">Chương I</w:t>
      </w:r>
    </w:p>
    <w:p>
      <w:pPr>
        <w:spacing w:after="60" w:before="60" w:line="300"/>
        <w:ind w:firstLine="400"/>
        <w:jc w:val="both"/>
      </w:pPr>
      <w:r>
        <w:rPr>
          <w:rFonts w:ascii="Times New Roman" w:cs="Times New Roman" w:eastAsia="Times New Roman" w:hAnsi="Times New Roman"/>
          <w:sz w:val="26"/>
          <w:szCs w:val="26"/>
        </w:rPr>
        <w:t xml:space="preserve">NHỮNG QUY ĐỊNH CHUNG</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Luật này quy định về nội dung công tác kế toán, tổ chức bộ máy kế toán, người làm kế toán, hoạt động kinh doanh dịch vụ kế toán, quản lý nhà nước về kế toán và tổ chức nghề nghiệp về kế toán.</w:t>
      </w:r>
    </w:p>
    <w:p>
      <w:pPr>
        <w:spacing w:after="100" w:before="200"/>
      </w:pPr>
      <w:r>
        <w:rPr>
          <w:rFonts w:ascii="Times New Roman" w:cs="Times New Roman" w:eastAsia="Times New Roman" w:hAnsi="Times New Roman"/>
          <w:b/>
          <w:bCs/>
          <w:sz w:val="26"/>
          <w:szCs w:val="26"/>
        </w:rPr>
        <w:t xml:space="preserve">Điều 2. Đối tượng áp dụng</w:t>
      </w:r>
    </w:p>
    <w:p>
      <w:pPr>
        <w:spacing w:after="60" w:before="60" w:line="300"/>
        <w:ind w:firstLine="400"/>
        <w:jc w:val="both"/>
      </w:pPr>
      <w:r>
        <w:rPr>
          <w:rFonts w:ascii="Times New Roman" w:cs="Times New Roman" w:eastAsia="Times New Roman" w:hAnsi="Times New Roman"/>
          <w:sz w:val="26"/>
          <w:szCs w:val="26"/>
        </w:rPr>
        <w:t xml:space="preserve">1. Cơ quan có nhiệm vụ thu, chi ngân sách nhà nước các cấp.</w:t>
      </w:r>
    </w:p>
    <w:p>
      <w:pPr>
        <w:spacing w:after="60" w:before="60" w:line="300"/>
        <w:ind w:firstLine="400"/>
        <w:jc w:val="both"/>
      </w:pPr>
      <w:r>
        <w:rPr>
          <w:rFonts w:ascii="Times New Roman" w:cs="Times New Roman" w:eastAsia="Times New Roman" w:hAnsi="Times New Roman"/>
          <w:sz w:val="26"/>
          <w:szCs w:val="26"/>
        </w:rPr>
        <w:t xml:space="preserve">2. Cơ quan nhà nước, đơn vị sự nghiệp, tổ chức có sử dụng kinh phí ngân sách nhà nước.</w:t>
      </w:r>
    </w:p>
    <w:p>
      <w:pPr>
        <w:spacing w:after="60" w:before="60" w:line="300"/>
        <w:ind w:firstLine="400"/>
        <w:jc w:val="both"/>
      </w:pPr>
      <w:r>
        <w:rPr>
          <w:rFonts w:ascii="Times New Roman" w:cs="Times New Roman" w:eastAsia="Times New Roman" w:hAnsi="Times New Roman"/>
          <w:sz w:val="26"/>
          <w:szCs w:val="26"/>
        </w:rPr>
        <w:t xml:space="preserve">3. Doanh nghiệp được thành lập và hoạt động theo pháp luật Việt Nam; chi nhánh, văn phòng đại diện của doanh nghiệp nước ngoài hoạt động tại Việt Nam.</w:t>
      </w:r>
    </w:p>
    <w:p>
      <w:pPr>
        <w:spacing w:after="60" w:before="60" w:line="300"/>
        <w:ind w:firstLine="400"/>
        <w:jc w:val="both"/>
      </w:pPr>
      <w:r>
        <w:rPr>
          <w:rFonts w:ascii="Times New Roman" w:cs="Times New Roman" w:eastAsia="Times New Roman" w:hAnsi="Times New Roman"/>
          <w:sz w:val="26"/>
          <w:szCs w:val="26"/>
        </w:rPr>
        <w:t xml:space="preserve">4. Hợp tác xã, liên hiệp hợp tác xã, hộ kinh doanh, tổ hợp tác.</w:t>
      </w:r>
    </w:p>
    <w:p>
      <w:pPr>
        <w:spacing w:after="60" w:before="60" w:line="300"/>
        <w:ind w:firstLine="400"/>
        <w:jc w:val="both"/>
      </w:pPr>
      <w:r>
        <w:rPr>
          <w:rFonts w:ascii="Times New Roman" w:cs="Times New Roman" w:eastAsia="Times New Roman" w:hAnsi="Times New Roman"/>
          <w:sz w:val="26"/>
          <w:szCs w:val="26"/>
        </w:rPr>
        <w:t xml:space="preserve">5. Người làm kế toán, người hành nghề dịch vụ kế toán và tổ chức kinh doanh dịch vụ kế toán.</w:t>
      </w:r>
    </w:p>
    <w:p>
      <w:pPr>
        <w:spacing w:after="100" w:before="200"/>
      </w:pPr>
      <w:r>
        <w:rPr>
          <w:rFonts w:ascii="Times New Roman" w:cs="Times New Roman" w:eastAsia="Times New Roman" w:hAnsi="Times New Roman"/>
          <w:b/>
          <w:bCs/>
          <w:sz w:val="26"/>
          <w:szCs w:val="26"/>
        </w:rPr>
        <w:t xml:space="preserve">Điều 3. Giải thích từ ngữ</w:t>
      </w:r>
    </w:p>
    <w:p>
      <w:pPr>
        <w:spacing w:after="60" w:before="60" w:line="300"/>
        <w:ind w:firstLine="400"/>
        <w:jc w:val="both"/>
      </w:pPr>
      <w:r>
        <w:rPr>
          <w:rFonts w:ascii="Times New Roman" w:cs="Times New Roman" w:eastAsia="Times New Roman" w:hAnsi="Times New Roman"/>
          <w:sz w:val="26"/>
          <w:szCs w:val="26"/>
        </w:rPr>
        <w:t xml:space="preserve">1.  Kế toán  là việc thu thập, xử lý, kiểm tra, phân tích và cung cấp thông tin kinh tế, tài chính dưới hình thức giá trị, hiện vật và thời gian lao động.</w:t>
      </w:r>
    </w:p>
    <w:p>
      <w:pPr>
        <w:spacing w:after="60" w:before="60" w:line="300"/>
        <w:ind w:firstLine="400"/>
        <w:jc w:val="both"/>
      </w:pPr>
      <w:r>
        <w:rPr>
          <w:rFonts w:ascii="Times New Roman" w:cs="Times New Roman" w:eastAsia="Times New Roman" w:hAnsi="Times New Roman"/>
          <w:sz w:val="26"/>
          <w:szCs w:val="26"/>
        </w:rPr>
        <w:t xml:space="preserve">2.  Kế toán tài chính  là việc thu thập, xử lý, kiểm tra, phân tích và cung cấp thông tin kinh tế, tài chính bằng báo cáo tài chính cho đối tượng có nhu cầu sử dụng thông tin của đơn vị kế toán.</w:t>
      </w:r>
    </w:p>
    <w:p>
      <w:pPr>
        <w:spacing w:after="60" w:before="60" w:line="300"/>
        <w:ind w:firstLine="400"/>
        <w:jc w:val="both"/>
      </w:pPr>
      <w:r>
        <w:rPr>
          <w:rFonts w:ascii="Times New Roman" w:cs="Times New Roman" w:eastAsia="Times New Roman" w:hAnsi="Times New Roman"/>
          <w:sz w:val="26"/>
          <w:szCs w:val="26"/>
        </w:rPr>
        <w:t xml:space="preserve">3.  Kế toán quản trị  là việc thu thập, xử lý, phân tích và cung cấp thông tin kinh tế, tài chính theo yêu cầu quản trị và quyết định kinh tế, tài chính trong nội bộ đơn vị kế toán.</w:t>
      </w:r>
    </w:p>
    <w:p>
      <w:pPr>
        <w:spacing w:after="60" w:before="60" w:line="300"/>
        <w:ind w:firstLine="400"/>
        <w:jc w:val="both"/>
      </w:pPr>
      <w:r>
        <w:rPr>
          <w:rFonts w:ascii="Times New Roman" w:cs="Times New Roman" w:eastAsia="Times New Roman" w:hAnsi="Times New Roman"/>
          <w:sz w:val="26"/>
          <w:szCs w:val="26"/>
        </w:rPr>
        <w:t xml:space="preserve">4.  Chứng từ kế toán  là những giấy tờ và vật mang tin phản ánh nghiệp vụ kinh tế, tài chính phát sinh và đã hoàn thành, làm căn cứ ghi sổ kế toán.</w:t>
      </w:r>
    </w:p>
    <w:p>
      <w:pPr>
        <w:spacing w:after="100" w:before="200"/>
      </w:pPr>
      <w:r>
        <w:rPr>
          <w:rFonts w:ascii="Times New Roman" w:cs="Times New Roman" w:eastAsia="Times New Roman" w:hAnsi="Times New Roman"/>
          <w:b/>
          <w:bCs/>
          <w:sz w:val="26"/>
          <w:szCs w:val="26"/>
        </w:rPr>
        <w:t xml:space="preserve">Điều 4. Nhiệm vụ của kế toán</w:t>
      </w:r>
    </w:p>
    <w:p>
      <w:pPr>
        <w:spacing w:after="60" w:before="60" w:line="300"/>
        <w:ind w:firstLine="400"/>
        <w:jc w:val="both"/>
      </w:pPr>
      <w:r>
        <w:rPr>
          <w:rFonts w:ascii="Times New Roman" w:cs="Times New Roman" w:eastAsia="Times New Roman" w:hAnsi="Times New Roman"/>
          <w:sz w:val="26"/>
          <w:szCs w:val="26"/>
        </w:rPr>
        <w:t xml:space="preserve">1. Thu thập, phản ánh, xử lý các nghiệp vụ kinh tế, tài chính phát sinh theo đối tượng và nội dung công việc kế toán, theo chuẩn mực kế toán và chế độ kế toán.</w:t>
      </w:r>
    </w:p>
    <w:p>
      <w:pPr>
        <w:spacing w:after="60" w:before="60" w:line="300"/>
        <w:ind w:firstLine="400"/>
        <w:jc w:val="both"/>
      </w:pPr>
      <w:r>
        <w:rPr>
          <w:rFonts w:ascii="Times New Roman" w:cs="Times New Roman" w:eastAsia="Times New Roman" w:hAnsi="Times New Roman"/>
          <w:sz w:val="26"/>
          <w:szCs w:val="26"/>
        </w:rPr>
        <w:t xml:space="preserve">2. Kiểm tra, giám sát các khoản thu, chi tài chính, nghĩa vụ thu, nộp, thanh toán nợ; kiểm tra việc quản lý, sử dụng tài sản và nguồn hình thành tài sản; phát hiện và ngăn ngừa các hành vi vi phạm pháp luật về tài chính, kế toán.</w:t>
      </w:r>
    </w:p>
    <w:p>
      <w:pPr>
        <w:spacing w:after="60" w:before="60" w:line="300"/>
        <w:ind w:firstLine="400"/>
        <w:jc w:val="both"/>
      </w:pPr>
      <w:r>
        <w:rPr>
          <w:rFonts w:ascii="Times New Roman" w:cs="Times New Roman" w:eastAsia="Times New Roman" w:hAnsi="Times New Roman"/>
          <w:sz w:val="26"/>
          <w:szCs w:val="26"/>
        </w:rPr>
        <w:t xml:space="preserve">3. Phân tích thông tin, số liệu kế toán; tham mưu, đề xuất các giải pháp phục vụ yêu cầu quản trị và quyết định kinh tế, tài chính của đơn vị kế toán.</w:t>
      </w:r>
    </w:p>
    <w:p>
      <w:pPr>
        <w:spacing w:after="60" w:before="60" w:line="300"/>
        <w:ind w:firstLine="400"/>
        <w:jc w:val="both"/>
      </w:pPr>
      <w:r>
        <w:rPr>
          <w:rFonts w:ascii="Times New Roman" w:cs="Times New Roman" w:eastAsia="Times New Roman" w:hAnsi="Times New Roman"/>
          <w:sz w:val="26"/>
          <w:szCs w:val="26"/>
        </w:rPr>
        <w:t xml:space="preserve">4. Cung cấp thông tin, số liệu kế toán theo quy định của pháp luật.</w:t>
      </w:r>
    </w:p>
    <w:p>
      <w:pPr>
        <w:spacing w:after="100" w:before="200"/>
      </w:pPr>
      <w:r>
        <w:rPr>
          <w:rFonts w:ascii="Times New Roman" w:cs="Times New Roman" w:eastAsia="Times New Roman" w:hAnsi="Times New Roman"/>
          <w:b/>
          <w:bCs/>
          <w:sz w:val="26"/>
          <w:szCs w:val="26"/>
        </w:rPr>
        <w:t xml:space="preserve">Điều 5. Nguyên tắc kế toán</w:t>
      </w:r>
    </w:p>
    <w:p>
      <w:pPr>
        <w:spacing w:after="60" w:before="60" w:line="300"/>
        <w:ind w:firstLine="400"/>
        <w:jc w:val="both"/>
      </w:pPr>
      <w:r>
        <w:rPr>
          <w:rFonts w:ascii="Times New Roman" w:cs="Times New Roman" w:eastAsia="Times New Roman" w:hAnsi="Times New Roman"/>
          <w:sz w:val="26"/>
          <w:szCs w:val="26"/>
        </w:rPr>
        <w:t xml:space="preserve">1. Giá trị tài sản và nợ phải trả được ghi nhận ban đầu theo giá gốc. Sau ghi nhận ban đầu, đối với một số loại tài sản hoặc nợ phải trả mà giá trị biến động thường xuyên theo giá thị trường và giá trị của chúng có thể xác định lại một cách đáng tin cậy thì được ghi nhận theo giá trị hợp lý tại thời điểm cuối kỳ lập báo cáo tài chính.</w:t>
      </w:r>
    </w:p>
    <w:p>
      <w:pPr>
        <w:spacing w:after="60" w:before="60" w:line="300"/>
        <w:ind w:firstLine="400"/>
        <w:jc w:val="both"/>
      </w:pPr>
      <w:r>
        <w:rPr>
          <w:rFonts w:ascii="Times New Roman" w:cs="Times New Roman" w:eastAsia="Times New Roman" w:hAnsi="Times New Roman"/>
          <w:sz w:val="26"/>
          <w:szCs w:val="26"/>
        </w:rPr>
        <w:t xml:space="preserve">2. Các quy định và phương pháp kế toán đã chọn phải được áp dụng nhất quán trong một kỳ kế toán năm; trường hợp có sự thay đổi thì phải giải trình trong báo cáo tài chính.</w:t>
      </w:r>
    </w:p>
    <w:p>
      <w:pPr>
        <w:spacing w:after="60" w:before="60" w:line="300"/>
        <w:ind w:firstLine="400"/>
        <w:jc w:val="both"/>
      </w:pPr>
      <w:r>
        <w:rPr>
          <w:rFonts w:ascii="Times New Roman" w:cs="Times New Roman" w:eastAsia="Times New Roman" w:hAnsi="Times New Roman"/>
          <w:sz w:val="26"/>
          <w:szCs w:val="26"/>
        </w:rPr>
        <w:t xml:space="preserve">3. Đơn vị kế toán phải thu thập, phản ánh khách quan, đầy đủ, đúng thực tế và đúng kỳ kế toán mà nghiệp vụ kinh tế, tài chính phát sinh.</w:t>
      </w:r>
    </w:p>
    <w:p>
      <w:pPr>
        <w:spacing w:after="60" w:before="60" w:line="300"/>
        <w:ind w:firstLine="400"/>
        <w:jc w:val="both"/>
      </w:pPr>
      <w:r>
        <w:rPr>
          <w:rFonts w:ascii="Times New Roman" w:cs="Times New Roman" w:eastAsia="Times New Roman" w:hAnsi="Times New Roman"/>
          <w:sz w:val="26"/>
          <w:szCs w:val="26"/>
        </w:rPr>
        <w:t xml:space="preserve">4. Báo cáo tài chính phải được lập và gửi cơ quan có thẩm quyền đầy đủ, chính xác và kịp thời.</w:t>
      </w:r>
    </w:p>
    <w:p>
      <w:pPr>
        <w:spacing w:after="100" w:before="200"/>
      </w:pPr>
      <w:r>
        <w:rPr>
          <w:rFonts w:ascii="Times New Roman" w:cs="Times New Roman" w:eastAsia="Times New Roman" w:hAnsi="Times New Roman"/>
          <w:b/>
          <w:bCs/>
          <w:sz w:val="26"/>
          <w:szCs w:val="26"/>
        </w:rPr>
        <w:t xml:space="preserve">Chương II</w:t>
      </w:r>
    </w:p>
    <w:p>
      <w:pPr>
        <w:spacing w:after="60" w:before="60" w:line="300"/>
        <w:ind w:firstLine="400"/>
        <w:jc w:val="both"/>
      </w:pPr>
      <w:r>
        <w:rPr>
          <w:rFonts w:ascii="Times New Roman" w:cs="Times New Roman" w:eastAsia="Times New Roman" w:hAnsi="Times New Roman"/>
          <w:sz w:val="26"/>
          <w:szCs w:val="26"/>
        </w:rPr>
        <w:t xml:space="preserve">NỘI DUNG CÔNG TÁC KẾ TOÁN</w:t>
      </w:r>
    </w:p>
    <w:p>
      <w:pPr>
        <w:spacing w:after="100" w:before="200"/>
      </w:pPr>
      <w:r>
        <w:rPr>
          <w:rFonts w:ascii="Times New Roman" w:cs="Times New Roman" w:eastAsia="Times New Roman" w:hAnsi="Times New Roman"/>
          <w:b/>
          <w:bCs/>
          <w:sz w:val="26"/>
          <w:szCs w:val="26"/>
        </w:rPr>
        <w:t xml:space="preserve">Mục 1. CHỨNG TỪ KẾ TOÁN</w:t>
      </w:r>
    </w:p>
    <w:p>
      <w:pPr>
        <w:spacing w:after="100" w:before="200"/>
      </w:pPr>
      <w:r>
        <w:rPr>
          <w:rFonts w:ascii="Times New Roman" w:cs="Times New Roman" w:eastAsia="Times New Roman" w:hAnsi="Times New Roman"/>
          <w:b/>
          <w:bCs/>
          <w:sz w:val="26"/>
          <w:szCs w:val="26"/>
        </w:rPr>
        <w:t xml:space="preserve">Điều 6. Nội dung chứng từ kế toán</w:t>
      </w:r>
    </w:p>
    <w:p>
      <w:pPr>
        <w:spacing w:after="60" w:before="60" w:line="300"/>
        <w:ind w:firstLine="400"/>
        <w:jc w:val="both"/>
      </w:pPr>
      <w:r>
        <w:rPr>
          <w:rFonts w:ascii="Times New Roman" w:cs="Times New Roman" w:eastAsia="Times New Roman" w:hAnsi="Times New Roman"/>
          <w:sz w:val="26"/>
          <w:szCs w:val="26"/>
        </w:rPr>
        <w:t xml:space="preserve">1. Chứng từ kế toán phải có các nội dung chủ yếu sau đây:</w:t>
      </w:r>
    </w:p>
    <w:p>
      <w:pPr>
        <w:spacing w:after="60" w:before="60" w:line="300"/>
        <w:ind w:firstLine="400"/>
        <w:jc w:val="both"/>
      </w:pPr>
      <w:r>
        <w:rPr>
          <w:rFonts w:ascii="Times New Roman" w:cs="Times New Roman" w:eastAsia="Times New Roman" w:hAnsi="Times New Roman"/>
          <w:sz w:val="26"/>
          <w:szCs w:val="26"/>
        </w:rPr>
        <w:t xml:space="preserve">a) Tên và số hiệu của chứng từ kế toán;</w:t>
      </w:r>
    </w:p>
    <w:p>
      <w:pPr>
        <w:spacing w:after="60" w:before="60" w:line="300"/>
        <w:ind w:firstLine="400"/>
        <w:jc w:val="both"/>
      </w:pPr>
      <w:r>
        <w:rPr>
          <w:rFonts w:ascii="Times New Roman" w:cs="Times New Roman" w:eastAsia="Times New Roman" w:hAnsi="Times New Roman"/>
          <w:sz w:val="26"/>
          <w:szCs w:val="26"/>
        </w:rPr>
        <w:t xml:space="preserve">b) Ngày, tháng, năm lập chứng từ kế toán;</w:t>
      </w:r>
    </w:p>
    <w:p>
      <w:pPr>
        <w:spacing w:after="60" w:before="60" w:line="300"/>
        <w:ind w:firstLine="400"/>
        <w:jc w:val="both"/>
      </w:pPr>
      <w:r>
        <w:rPr>
          <w:rFonts w:ascii="Times New Roman" w:cs="Times New Roman" w:eastAsia="Times New Roman" w:hAnsi="Times New Roman"/>
          <w:sz w:val="26"/>
          <w:szCs w:val="26"/>
        </w:rPr>
        <w:t xml:space="preserve">c) Tên, địa chỉ của cơ quan, tổ chức, đơn vị hoặc cá nhân lập chứng từ kế toán;</w:t>
      </w:r>
    </w:p>
    <w:p>
      <w:pPr>
        <w:spacing w:after="60" w:before="60" w:line="300"/>
        <w:ind w:firstLine="400"/>
        <w:jc w:val="both"/>
      </w:pPr>
      <w:r>
        <w:rPr>
          <w:rFonts w:ascii="Times New Roman" w:cs="Times New Roman" w:eastAsia="Times New Roman" w:hAnsi="Times New Roman"/>
          <w:sz w:val="26"/>
          <w:szCs w:val="26"/>
        </w:rPr>
        <w:t xml:space="preserve">d) Tên, địa chỉ của cơ quan, tổ chức, đơn vị hoặc cá nhân nhận chứng từ kế toán;</w:t>
      </w:r>
    </w:p>
    <w:p>
      <w:pPr>
        <w:spacing w:after="60" w:before="60" w:line="300"/>
        <w:ind w:firstLine="400"/>
        <w:jc w:val="both"/>
      </w:pPr>
      <w:r>
        <w:rPr>
          <w:rFonts w:ascii="Times New Roman" w:cs="Times New Roman" w:eastAsia="Times New Roman" w:hAnsi="Times New Roman"/>
          <w:sz w:val="26"/>
          <w:szCs w:val="26"/>
        </w:rPr>
        <w:t xml:space="preserve">đ) Nội dung nghiệp vụ kinh tế, tài chính phát sinh;</w:t>
      </w:r>
    </w:p>
    <w:p>
      <w:pPr>
        <w:spacing w:after="60" w:before="60" w:line="300"/>
        <w:ind w:firstLine="400"/>
        <w:jc w:val="both"/>
      </w:pPr>
      <w:r>
        <w:rPr>
          <w:rFonts w:ascii="Times New Roman" w:cs="Times New Roman" w:eastAsia="Times New Roman" w:hAnsi="Times New Roman"/>
          <w:sz w:val="26"/>
          <w:szCs w:val="26"/>
        </w:rPr>
        <w:t xml:space="preserve">e) Số lượng, đơn giá và số tiền của nghiệp vụ kinh tế, tài chính ghi bằng số; tổng số tiền của chứng từ kế toán dùng để thu, chi tiền ghi bằng số và bằng chữ;</w:t>
      </w:r>
    </w:p>
    <w:p>
      <w:pPr>
        <w:spacing w:after="60" w:before="60" w:line="300"/>
        <w:ind w:firstLine="400"/>
        <w:jc w:val="both"/>
      </w:pPr>
      <w:r>
        <w:rPr>
          <w:rFonts w:ascii="Times New Roman" w:cs="Times New Roman" w:eastAsia="Times New Roman" w:hAnsi="Times New Roman"/>
          <w:sz w:val="26"/>
          <w:szCs w:val="26"/>
        </w:rPr>
        <w:t xml:space="preserve">g) Chữ ký, họ và tên của người lập, người duyệt và những người có liên quan đến chứng từ kế toán.</w:t>
      </w:r>
    </w:p>
    <w:p>
      <w:pPr>
        <w:spacing w:after="60" w:before="60" w:line="300"/>
        <w:ind w:firstLine="400"/>
        <w:jc w:val="both"/>
      </w:pPr>
      <w:r>
        <w:rPr>
          <w:rFonts w:ascii="Times New Roman" w:cs="Times New Roman" w:eastAsia="Times New Roman" w:hAnsi="Times New Roman"/>
          <w:sz w:val="26"/>
          <w:szCs w:val="26"/>
        </w:rPr>
        <w:t xml:space="preserve">2. Chứng từ điện tử được coi là chứng từ kế toán nếu có các nội dung quy định tại khoản 1 Điều này và được thể hiện dưới dạng dữ liệu điện tử, được mã hóa mà không bị thay đổi trong quá trình truyền qua mạng máy tính, mạng viễn thông hoặc trên vật mang tin.</w:t>
      </w:r>
    </w:p>
    <w:p>
      <w:pPr>
        <w:spacing w:after="100" w:before="200"/>
      </w:pPr>
      <w:r>
        <w:rPr>
          <w:rFonts w:ascii="Times New Roman" w:cs="Times New Roman" w:eastAsia="Times New Roman" w:hAnsi="Times New Roman"/>
          <w:b/>
          <w:bCs/>
          <w:sz w:val="26"/>
          <w:szCs w:val="26"/>
        </w:rPr>
        <w:t xml:space="preserve">Mục 2. SỔ KẾ TOÁN VÀ BÁO CÁO TÀI CHÍNH</w:t>
      </w:r>
    </w:p>
    <w:p>
      <w:pPr>
        <w:spacing w:after="100" w:before="200"/>
      </w:pPr>
      <w:r>
        <w:rPr>
          <w:rFonts w:ascii="Times New Roman" w:cs="Times New Roman" w:eastAsia="Times New Roman" w:hAnsi="Times New Roman"/>
          <w:b/>
          <w:bCs/>
          <w:sz w:val="26"/>
          <w:szCs w:val="26"/>
        </w:rPr>
        <w:t xml:space="preserve">Điều 7. Sổ kế toán</w:t>
      </w:r>
    </w:p>
    <w:p>
      <w:pPr>
        <w:spacing w:after="60" w:before="60" w:line="300"/>
        <w:ind w:firstLine="400"/>
        <w:jc w:val="both"/>
      </w:pPr>
      <w:r>
        <w:rPr>
          <w:rFonts w:ascii="Times New Roman" w:cs="Times New Roman" w:eastAsia="Times New Roman" w:hAnsi="Times New Roman"/>
          <w:sz w:val="26"/>
          <w:szCs w:val="26"/>
        </w:rPr>
        <w:t xml:space="preserve">1. Sổ kế toán dùng để ghi chép, hệ thống và lưu giữ toàn bộ các nghiệp vụ kinh tế, tài chính đã phát sinh có liên quan đến đơn vị kế toán.</w:t>
      </w:r>
    </w:p>
    <w:p>
      <w:pPr>
        <w:spacing w:after="60" w:before="60" w:line="300"/>
        <w:ind w:firstLine="400"/>
        <w:jc w:val="both"/>
      </w:pPr>
      <w:r>
        <w:rPr>
          <w:rFonts w:ascii="Times New Roman" w:cs="Times New Roman" w:eastAsia="Times New Roman" w:hAnsi="Times New Roman"/>
          <w:sz w:val="26"/>
          <w:szCs w:val="26"/>
        </w:rPr>
        <w:t xml:space="preserve">2. Đơn vị kế toán phải căn cứ vào chứng từ kế toán để ghi sổ kế toán.</w:t>
      </w:r>
    </w:p>
    <w:p>
      <w:pPr>
        <w:spacing w:after="60" w:before="60" w:line="300"/>
        <w:ind w:firstLine="400"/>
        <w:jc w:val="both"/>
      </w:pPr>
      <w:r>
        <w:rPr>
          <w:rFonts w:ascii="Times New Roman" w:cs="Times New Roman" w:eastAsia="Times New Roman" w:hAnsi="Times New Roman"/>
          <w:sz w:val="26"/>
          <w:szCs w:val="26"/>
        </w:rPr>
        <w:t xml:space="preserve">3. Sổ kế toán phải được ghi kịp thời, rõ ràng, đầy đủ các nội dung theo mẫu sổ. Nghiệp vụ kinh tế, tài chính phản ánh trên sổ kế toán phải chính xác, trung thực, đúng trật tự thời gian.</w:t>
      </w:r>
    </w:p>
    <w:p>
      <w:pPr>
        <w:spacing w:after="100" w:before="200"/>
      </w:pPr>
      <w:r>
        <w:rPr>
          <w:rFonts w:ascii="Times New Roman" w:cs="Times New Roman" w:eastAsia="Times New Roman" w:hAnsi="Times New Roman"/>
          <w:b/>
          <w:bCs/>
          <w:sz w:val="26"/>
          <w:szCs w:val="26"/>
        </w:rPr>
        <w:t xml:space="preserve">Điều 8. Báo cáo tài chính của đơn vị kế toán</w:t>
      </w:r>
    </w:p>
    <w:p>
      <w:pPr>
        <w:spacing w:after="60" w:before="60" w:line="300"/>
        <w:ind w:firstLine="400"/>
        <w:jc w:val="both"/>
      </w:pPr>
      <w:r>
        <w:rPr>
          <w:rFonts w:ascii="Times New Roman" w:cs="Times New Roman" w:eastAsia="Times New Roman" w:hAnsi="Times New Roman"/>
          <w:sz w:val="26"/>
          <w:szCs w:val="26"/>
        </w:rPr>
        <w:t xml:space="preserve">1. Báo cáo tài chính dùng để tổng hợp và thuyết minh về tình hình tài chính, kết quả kinh doanh và lưu chuyển tiền tệ của đơn vị kế toán.</w:t>
      </w:r>
    </w:p>
    <w:p>
      <w:pPr>
        <w:spacing w:after="60" w:before="60" w:line="300"/>
        <w:ind w:firstLine="400"/>
        <w:jc w:val="both"/>
      </w:pPr>
      <w:r>
        <w:rPr>
          <w:rFonts w:ascii="Times New Roman" w:cs="Times New Roman" w:eastAsia="Times New Roman" w:hAnsi="Times New Roman"/>
          <w:sz w:val="26"/>
          <w:szCs w:val="26"/>
        </w:rPr>
        <w:t xml:space="preserve">2. Hệ thống báo cáo tài chính của doanh nghiệp gồm:</w:t>
      </w:r>
    </w:p>
    <w:p>
      <w:pPr>
        <w:spacing w:after="60" w:before="60" w:line="300"/>
        <w:ind w:firstLine="400"/>
        <w:jc w:val="both"/>
      </w:pPr>
      <w:r>
        <w:rPr>
          <w:rFonts w:ascii="Times New Roman" w:cs="Times New Roman" w:eastAsia="Times New Roman" w:hAnsi="Times New Roman"/>
          <w:sz w:val="26"/>
          <w:szCs w:val="26"/>
        </w:rPr>
        <w:t xml:space="preserve">a) Báo cáo tình hình tài chính (Bảng cân đối kế toán);</w:t>
      </w:r>
    </w:p>
    <w:p>
      <w:pPr>
        <w:spacing w:after="60" w:before="60" w:line="300"/>
        <w:ind w:firstLine="400"/>
        <w:jc w:val="both"/>
      </w:pPr>
      <w:r>
        <w:rPr>
          <w:rFonts w:ascii="Times New Roman" w:cs="Times New Roman" w:eastAsia="Times New Roman" w:hAnsi="Times New Roman"/>
          <w:sz w:val="26"/>
          <w:szCs w:val="26"/>
        </w:rPr>
        <w:t xml:space="preserve">b) Báo cáo kết quả hoạt động kinh doanh;</w:t>
      </w:r>
    </w:p>
    <w:p>
      <w:pPr>
        <w:spacing w:after="60" w:before="60" w:line="300"/>
        <w:ind w:firstLine="400"/>
        <w:jc w:val="both"/>
      </w:pPr>
      <w:r>
        <w:rPr>
          <w:rFonts w:ascii="Times New Roman" w:cs="Times New Roman" w:eastAsia="Times New Roman" w:hAnsi="Times New Roman"/>
          <w:sz w:val="26"/>
          <w:szCs w:val="26"/>
        </w:rPr>
        <w:t xml:space="preserve">c) Báo cáo lưu chuyển tiền tệ;</w:t>
      </w:r>
    </w:p>
    <w:p>
      <w:pPr>
        <w:spacing w:after="60" w:before="60" w:line="300"/>
        <w:ind w:firstLine="400"/>
        <w:jc w:val="both"/>
      </w:pPr>
      <w:r>
        <w:rPr>
          <w:rFonts w:ascii="Times New Roman" w:cs="Times New Roman" w:eastAsia="Times New Roman" w:hAnsi="Times New Roman"/>
          <w:sz w:val="26"/>
          <w:szCs w:val="26"/>
        </w:rPr>
        <w:t xml:space="preserve">d) Bản thuyết minh báo cáo tài chính.</w:t>
      </w:r>
    </w:p>
    <w:p>
      <w:pPr>
        <w:spacing w:after="100" w:before="200"/>
      </w:pPr>
      <w:r>
        <w:rPr>
          <w:rFonts w:ascii="Times New Roman" w:cs="Times New Roman" w:eastAsia="Times New Roman" w:hAnsi="Times New Roman"/>
          <w:b/>
          <w:bCs/>
          <w:sz w:val="26"/>
          <w:szCs w:val="26"/>
        </w:rPr>
        <w:t xml:space="preserve">Chương III</w:t>
      </w:r>
    </w:p>
    <w:p>
      <w:pPr>
        <w:spacing w:after="60" w:before="60" w:line="300"/>
        <w:ind w:firstLine="400"/>
        <w:jc w:val="both"/>
      </w:pPr>
      <w:r>
        <w:rPr>
          <w:rFonts w:ascii="Times New Roman" w:cs="Times New Roman" w:eastAsia="Times New Roman" w:hAnsi="Times New Roman"/>
          <w:sz w:val="26"/>
          <w:szCs w:val="26"/>
        </w:rPr>
        <w:t xml:space="preserve">TỔ CHỨC BỘ MÁY KẾ TOÁN VÀ NGƯỜI LÀM KẾ TOÁN</w:t>
      </w:r>
    </w:p>
    <w:p>
      <w:pPr>
        <w:spacing w:after="100" w:before="200"/>
      </w:pPr>
      <w:r>
        <w:rPr>
          <w:rFonts w:ascii="Times New Roman" w:cs="Times New Roman" w:eastAsia="Times New Roman" w:hAnsi="Times New Roman"/>
          <w:b/>
          <w:bCs/>
          <w:sz w:val="26"/>
          <w:szCs w:val="26"/>
        </w:rPr>
        <w:t xml:space="preserve">Điều 9. Kế toán trưởng</w:t>
      </w:r>
    </w:p>
    <w:p>
      <w:pPr>
        <w:spacing w:after="60" w:before="60" w:line="300"/>
        <w:ind w:firstLine="400"/>
        <w:jc w:val="both"/>
      </w:pPr>
      <w:r>
        <w:rPr>
          <w:rFonts w:ascii="Times New Roman" w:cs="Times New Roman" w:eastAsia="Times New Roman" w:hAnsi="Times New Roman"/>
          <w:sz w:val="26"/>
          <w:szCs w:val="26"/>
        </w:rPr>
        <w:t xml:space="preserve">1. Kế toán trưởng là người đứng đầu bộ máy kế toán của đơn vị có nhiệm vụ tổ chức thực hiện công tác kế toán trong đơn vị kế toán.</w:t>
      </w:r>
    </w:p>
    <w:p>
      <w:pPr>
        <w:spacing w:after="60" w:before="60" w:line="300"/>
        <w:ind w:firstLine="400"/>
        <w:jc w:val="both"/>
      </w:pPr>
      <w:r>
        <w:rPr>
          <w:rFonts w:ascii="Times New Roman" w:cs="Times New Roman" w:eastAsia="Times New Roman" w:hAnsi="Times New Roman"/>
          <w:sz w:val="26"/>
          <w:szCs w:val="26"/>
        </w:rPr>
        <w:t xml:space="preserve">2. Kế toán trưởng có trách nhiệm thực hiện các quy định của pháp luật về kế toán, tài chính trong đơn vị kế toán và chịu sự lãnh đạo trực tiếp của người đại diện theo pháp luật của đơn vị kế toán.</w:t>
      </w:r>
    </w:p>
    <w:p>
      <w:pPr>
        <w:spacing w:after="100" w:before="200"/>
      </w:pPr>
      <w:r>
        <w:rPr>
          <w:rFonts w:ascii="Times New Roman" w:cs="Times New Roman" w:eastAsia="Times New Roman" w:hAnsi="Times New Roman"/>
          <w:b/>
          <w:bCs/>
          <w:sz w:val="26"/>
          <w:szCs w:val="26"/>
        </w:rPr>
        <w:t xml:space="preserve">Chương IV</w:t>
      </w:r>
    </w:p>
    <w:p>
      <w:pPr>
        <w:spacing w:after="60" w:before="60" w:line="300"/>
        <w:ind w:firstLine="400"/>
        <w:jc w:val="both"/>
      </w:pPr>
      <w:r>
        <w:rPr>
          <w:rFonts w:ascii="Times New Roman" w:cs="Times New Roman" w:eastAsia="Times New Roman" w:hAnsi="Times New Roman"/>
          <w:sz w:val="26"/>
          <w:szCs w:val="26"/>
        </w:rPr>
        <w:t xml:space="preserve">ĐIỀU KHOẢN THI HÀNH</w:t>
      </w:r>
    </w:p>
    <w:p>
      <w:pPr>
        <w:spacing w:after="100" w:before="200"/>
      </w:pPr>
      <w:r>
        <w:rPr>
          <w:rFonts w:ascii="Times New Roman" w:cs="Times New Roman" w:eastAsia="Times New Roman" w:hAnsi="Times New Roman"/>
          <w:b/>
          <w:bCs/>
          <w:sz w:val="26"/>
          <w:szCs w:val="26"/>
        </w:rPr>
        <w:t xml:space="preserve">Điều 10. Hiệu lực thi hành</w:t>
      </w:r>
    </w:p>
    <w:p>
      <w:pPr>
        <w:spacing w:after="60" w:before="60" w:line="300"/>
        <w:ind w:firstLine="400"/>
        <w:jc w:val="both"/>
      </w:pPr>
      <w:r>
        <w:rPr>
          <w:rFonts w:ascii="Times New Roman" w:cs="Times New Roman" w:eastAsia="Times New Roman" w:hAnsi="Times New Roman"/>
          <w:sz w:val="26"/>
          <w:szCs w:val="26"/>
        </w:rPr>
        <w:t xml:space="preserve">1. Luật này có hiệu lực thi hành từ ngày 01 tháng 01 năm 2017.</w:t>
      </w:r>
    </w:p>
    <w:p>
      <w:pPr>
        <w:spacing w:after="60" w:before="60" w:line="300"/>
        <w:ind w:firstLine="400"/>
        <w:jc w:val="both"/>
      </w:pPr>
      <w:r>
        <w:rPr>
          <w:rFonts w:ascii="Times New Roman" w:cs="Times New Roman" w:eastAsia="Times New Roman" w:hAnsi="Times New Roman"/>
          <w:sz w:val="26"/>
          <w:szCs w:val="26"/>
        </w:rPr>
        <w:t xml:space="preserve">2. Luật Kế toán số 03/2003/QH11 hết hiệu lực thi hành kể từ ngày Luật này có hiệu lực.</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CHỦ TỊCH QUỐC HỘI</w:t>
      </w:r>
    </w:p>
    <w:p>
      <w:pPr>
        <w:spacing w:after="60" w:before="60" w:line="300"/>
        <w:ind w:firstLine="400"/>
        <w:jc w:val="both"/>
      </w:pPr>
      <w:r>
        <w:rPr>
          <w:rFonts w:ascii="Times New Roman" w:cs="Times New Roman" w:eastAsia="Times New Roman" w:hAnsi="Times New Roman"/>
          <w:sz w:val="26"/>
          <w:szCs w:val="26"/>
        </w:rPr>
        <w:t xml:space="preserve">Nguyễn Sinh Hùng</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Nguyễn Sinh Hùng</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2026-08-29T13:08:37.268Z</dcterms:created>
  <dcterms:modified xsi:type="dcterms:W3CDTF">2026-08-29T13:08:37.268Z</dcterms:modified>
</cp:coreProperties>
</file>

<file path=docProps/custom.xml><?xml version="1.0" encoding="utf-8"?>
<Properties xmlns="http://schemas.openxmlformats.org/officeDocument/2006/custom-properties" xmlns:vt="http://schemas.openxmlformats.org/officeDocument/2006/docPropsVTypes"/>
</file>