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left w:val="none"/>
          <w:bottom w:val="none"/>
          <w:right w:val="none"/>
          <w:insideH w:val="none"/>
          <w:insideV w:val="none"/>
        </w:tblBorders>
      </w:tblPr>
      <w:tblGrid>
        <w:gridCol w:w="100"/>
        <w:gridCol w:w="100"/>
      </w:tblGrid>
      <w:tr>
        <w:tc>
          <w:tcPr>
            <w:tcW w:type="pct" w:w="45%"/>
          </w:tcPr>
          <w:p>
            <w:pPr>
              <w:jc w:val="center"/>
            </w:pPr>
            <w:r>
              <w:rPr>
                <w:rFonts w:ascii="Times New Roman" w:cs="Times New Roman" w:eastAsia="Times New Roman" w:hAnsi="Times New Roman"/>
                <w:b/>
                <w:bCs/>
                <w:sz w:val="24"/>
                <w:szCs w:val="24"/>
              </w:rPr>
              <w:t xml:space="preserve">CHÍNH PHỦ</w:t>
            </w:r>
          </w:p>
          <w:p>
            <w:pPr>
              <w:spacing w:after="120" w:before="80"/>
              <w:jc w:val="center"/>
            </w:pPr>
            <w:r>
              <w:rPr>
                <w:rFonts w:ascii="Times New Roman" w:cs="Times New Roman" w:eastAsia="Times New Roman" w:hAnsi="Times New Roman"/>
                <w:sz w:val="24"/>
                <w:szCs w:val="24"/>
              </w:rPr>
              <w:t xml:space="preserve">Số: 123/2020/NĐ-CP</w:t>
            </w:r>
          </w:p>
        </w:tc>
        <w:tc>
          <w:tcPr>
            <w:tcW w:type="pct" w:w="55%"/>
          </w:tcPr>
          <w:p>
            <w:pPr>
              <w:jc w:val="center"/>
            </w:pPr>
            <w:r>
              <w:rPr>
                <w:rFonts w:ascii="Times New Roman" w:cs="Times New Roman" w:eastAsia="Times New Roman" w:hAnsi="Times New Roman"/>
                <w:b/>
                <w:bCs/>
                <w:sz w:val="24"/>
                <w:szCs w:val="24"/>
              </w:rPr>
              <w:t xml:space="preserve">CỘNG HÒA XÃ HỘI CHỦ NGHĨA VIỆT NAM</w:t>
            </w:r>
          </w:p>
          <w:p>
            <w:pPr>
              <w:spacing w:after="120" w:before="40"/>
              <w:jc w:val="center"/>
            </w:pPr>
            <w:r>
              <w:rPr>
                <w:rFonts w:ascii="Times New Roman" w:cs="Times New Roman" w:eastAsia="Times New Roman" w:hAnsi="Times New Roman"/>
                <w:b/>
                <w:bCs/>
                <w:sz w:val="26"/>
                <w:szCs w:val="26"/>
                <w:u w:val="single"/>
              </w:rPr>
              <w:t xml:space="preserve">Độc lập - Tự do - Hạnh phúc</w:t>
            </w:r>
          </w:p>
          <w:p>
            <w:pPr>
              <w:jc w:val="right"/>
            </w:pPr>
            <w:r>
              <w:rPr>
                <w:rFonts w:ascii="Times New Roman" w:cs="Times New Roman" w:eastAsia="Times New Roman" w:hAnsi="Times New Roman"/>
                <w:i/>
                <w:iCs/>
                <w:sz w:val="22"/>
                <w:szCs w:val="22"/>
              </w:rPr>
              <w:t xml:space="preserve">Ngày ban hành: 19/10/2020</w:t>
            </w:r>
          </w:p>
        </w:tc>
      </w:tr>
    </w:tbl>
    <w:p>
      <w:pPr>
        <w:spacing w:after="240" w:before="360"/>
        <w:jc w:val="center"/>
      </w:pPr>
      <w:r>
        <w:rPr>
          <w:rFonts w:ascii="Times New Roman" w:cs="Times New Roman" w:eastAsia="Times New Roman" w:hAnsi="Times New Roman"/>
          <w:b/>
          <w:bCs/>
          <w:sz w:val="28"/>
          <w:szCs w:val="28"/>
        </w:rPr>
        <w:t xml:space="preserve">NGHỊ ĐỊNH 123/2020/NĐ-CP QUY ĐỊNH VỀ HÓA ĐƠN, CHỨNG TỪ</w:t>
      </w:r>
    </w:p>
    <w:p>
      <w:pPr>
        <w:spacing w:after="60" w:before="60" w:line="300"/>
        <w:ind w:firstLine="400"/>
        <w:jc w:val="both"/>
      </w:pPr>
      <w:r>
        <w:rPr>
          <w:rFonts w:ascii="Times New Roman" w:cs="Times New Roman" w:eastAsia="Times New Roman" w:hAnsi="Times New Roman"/>
          <w:sz w:val="26"/>
          <w:szCs w:val="26"/>
        </w:rPr>
        <w:t xml:space="preserve">CHÍNH PHỦ</w:t>
      </w:r>
    </w:p>
    <w:p>
      <w:pPr>
        <w:spacing w:after="60" w:before="60" w:line="300"/>
        <w:ind w:firstLine="400"/>
        <w:jc w:val="both"/>
      </w:pPr>
      <w:r>
        <w:rPr>
          <w:rFonts w:ascii="Times New Roman" w:cs="Times New Roman" w:eastAsia="Times New Roman" w:hAnsi="Times New Roman"/>
          <w:sz w:val="26"/>
          <w:szCs w:val="26"/>
        </w:rPr>
        <w:t xml:space="preserve">_______</w:t>
      </w:r>
    </w:p>
    <w:p>
      <w:pPr>
        <w:spacing w:after="60" w:before="60" w:line="300"/>
        <w:ind w:firstLine="400"/>
        <w:jc w:val="both"/>
      </w:pPr>
      <w:r>
        <w:rPr>
          <w:rFonts w:ascii="Times New Roman" w:cs="Times New Roman" w:eastAsia="Times New Roman" w:hAnsi="Times New Roman"/>
          <w:sz w:val="26"/>
          <w:szCs w:val="26"/>
        </w:rPr>
        <w:t xml:space="preserve">Số: 123/2020/NĐ-CP</w:t>
      </w:r>
    </w:p>
    <w:p>
      <w:pPr>
        <w:spacing w:after="60" w:before="60" w:line="300"/>
        <w:ind w:firstLine="400"/>
        <w:jc w:val="both"/>
      </w:pPr>
      <w:r>
        <w:rPr>
          <w:rFonts w:ascii="Times New Roman" w:cs="Times New Roman" w:eastAsia="Times New Roman" w:hAnsi="Times New Roman"/>
          <w:sz w:val="26"/>
          <w:szCs w:val="26"/>
        </w:rPr>
        <w:t xml:space="preserve">CỘNG HÒA XÃ HỘI CHỦ NGHĨA VIỆT NAM</w:t>
      </w:r>
    </w:p>
    <w:p>
      <w:pPr>
        <w:spacing w:after="60" w:before="60" w:line="300"/>
        <w:ind w:firstLine="400"/>
        <w:jc w:val="both"/>
      </w:pPr>
      <w:r>
        <w:rPr>
          <w:rFonts w:ascii="Times New Roman" w:cs="Times New Roman" w:eastAsia="Times New Roman" w:hAnsi="Times New Roman"/>
          <w:sz w:val="26"/>
          <w:szCs w:val="26"/>
        </w:rPr>
        <w:t xml:space="preserve">Độc lập - Tự do - Hạnh phúc</w:t>
      </w:r>
    </w:p>
    <w:p>
      <w:pPr>
        <w:spacing w:after="60" w:before="60" w:line="300"/>
        <w:ind w:firstLine="400"/>
        <w:jc w:val="both"/>
      </w:pPr>
      <w:r>
        <w:rPr>
          <w:rFonts w:ascii="Times New Roman" w:cs="Times New Roman" w:eastAsia="Times New Roman" w:hAnsi="Times New Roman"/>
          <w:sz w:val="26"/>
          <w:szCs w:val="26"/>
        </w:rPr>
        <w:t xml:space="preserve">__________________________</w:t>
      </w:r>
    </w:p>
    <w:p>
      <w:pPr>
        <w:spacing w:after="60" w:before="60" w:line="300"/>
        <w:ind w:firstLine="400"/>
        <w:jc w:val="both"/>
      </w:pPr>
      <w:r>
        <w:rPr>
          <w:rFonts w:ascii="Times New Roman" w:cs="Times New Roman" w:eastAsia="Times New Roman" w:hAnsi="Times New Roman"/>
          <w:sz w:val="26"/>
          <w:szCs w:val="26"/>
        </w:rPr>
        <w:t xml:space="preserve">Hà Nội, ngày 19 tháng 10 năm 2020</w:t>
      </w:r>
    </w:p>
    <w:p>
      <w:pPr>
        <w:spacing w:after="60" w:before="60" w:line="300"/>
        <w:ind w:firstLine="400"/>
        <w:jc w:val="both"/>
      </w:pPr>
      <w:r>
        <w:rPr>
          <w:rFonts w:ascii="Times New Roman" w:cs="Times New Roman" w:eastAsia="Times New Roman" w:hAnsi="Times New Roman"/>
          <w:sz w:val="26"/>
          <w:szCs w:val="26"/>
        </w:rPr>
        <w:t xml:space="preserve">NGHỊ ĐỊNH</w:t>
      </w:r>
    </w:p>
    <w:p>
      <w:pPr>
        <w:spacing w:after="60" w:before="60" w:line="300"/>
        <w:ind w:firstLine="400"/>
        <w:jc w:val="both"/>
      </w:pPr>
      <w:r>
        <w:rPr>
          <w:rFonts w:ascii="Times New Roman" w:cs="Times New Roman" w:eastAsia="Times New Roman" w:hAnsi="Times New Roman"/>
          <w:sz w:val="26"/>
          <w:szCs w:val="26"/>
        </w:rPr>
        <w:t xml:space="preserve">Quy định về hóa đơn, chứng từ</w:t>
      </w:r>
    </w:p>
    <w:p>
      <w:pPr>
        <w:spacing w:after="60" w:before="60" w:line="300"/>
        <w:ind w:firstLine="400"/>
        <w:jc w:val="both"/>
      </w:pPr>
      <w:r>
        <w:rPr>
          <w:rFonts w:ascii="Times New Roman" w:cs="Times New Roman" w:eastAsia="Times New Roman" w:hAnsi="Times New Roman"/>
          <w:sz w:val="26"/>
          <w:szCs w:val="26"/>
        </w:rPr>
        <w:t xml:space="preserve">Căn cứ Luật Tổ chức Chính phủ ngày 19 tháng 6 năm 2015;</w:t>
      </w:r>
    </w:p>
    <w:p>
      <w:pPr>
        <w:spacing w:after="60" w:before="60" w:line="300"/>
        <w:ind w:firstLine="400"/>
        <w:jc w:val="both"/>
      </w:pPr>
      <w:r>
        <w:rPr>
          <w:rFonts w:ascii="Times New Roman" w:cs="Times New Roman" w:eastAsia="Times New Roman" w:hAnsi="Times New Roman"/>
          <w:sz w:val="26"/>
          <w:szCs w:val="26"/>
        </w:rPr>
        <w:t xml:space="preserve">Căn cứ Luật Quản lý thuế ngày 13 tháng 6 năm 2019;</w:t>
      </w:r>
    </w:p>
    <w:p>
      <w:pPr>
        <w:spacing w:after="60" w:before="60" w:line="300"/>
        <w:ind w:firstLine="400"/>
        <w:jc w:val="both"/>
      </w:pPr>
      <w:r>
        <w:rPr>
          <w:rFonts w:ascii="Times New Roman" w:cs="Times New Roman" w:eastAsia="Times New Roman" w:hAnsi="Times New Roman"/>
          <w:sz w:val="26"/>
          <w:szCs w:val="26"/>
        </w:rPr>
        <w:t xml:space="preserve">Căn cứ Luật Kế toán ngày 20 tháng 11 năm 2015;</w:t>
      </w:r>
    </w:p>
    <w:p>
      <w:pPr>
        <w:spacing w:after="60" w:before="60" w:line="300"/>
        <w:ind w:firstLine="400"/>
        <w:jc w:val="both"/>
      </w:pPr>
      <w:r>
        <w:rPr>
          <w:rFonts w:ascii="Times New Roman" w:cs="Times New Roman" w:eastAsia="Times New Roman" w:hAnsi="Times New Roman"/>
          <w:sz w:val="26"/>
          <w:szCs w:val="26"/>
        </w:rPr>
        <w:t xml:space="preserve">Căn cứ Luật Giao dịch điện tử ngày 29 tháng 11 năm 2005;</w:t>
      </w:r>
    </w:p>
    <w:p>
      <w:pPr>
        <w:spacing w:after="60" w:before="60" w:line="300"/>
        <w:ind w:firstLine="400"/>
        <w:jc w:val="both"/>
      </w:pPr>
      <w:r>
        <w:rPr>
          <w:rFonts w:ascii="Times New Roman" w:cs="Times New Roman" w:eastAsia="Times New Roman" w:hAnsi="Times New Roman"/>
          <w:sz w:val="26"/>
          <w:szCs w:val="26"/>
        </w:rPr>
        <w:t xml:space="preserve">Theo đề nghị của Bộ trưởng Bộ Tài chính;</w:t>
      </w:r>
    </w:p>
    <w:p>
      <w:pPr>
        <w:spacing w:after="60" w:before="60" w:line="300"/>
        <w:ind w:firstLine="400"/>
        <w:jc w:val="both"/>
      </w:pPr>
      <w:r>
        <w:rPr>
          <w:rFonts w:ascii="Times New Roman" w:cs="Times New Roman" w:eastAsia="Times New Roman" w:hAnsi="Times New Roman"/>
          <w:sz w:val="26"/>
          <w:szCs w:val="26"/>
        </w:rPr>
        <w:t xml:space="preserve">Chính phủ ban hành Nghị định quy định về hóa đơn, chứng từ.</w:t>
      </w:r>
    </w:p>
    <w:p>
      <w:pPr>
        <w:spacing w:after="100" w:before="200"/>
      </w:pPr>
      <w:r>
        <w:rPr>
          <w:rFonts w:ascii="Times New Roman" w:cs="Times New Roman" w:eastAsia="Times New Roman" w:hAnsi="Times New Roman"/>
          <w:b/>
          <w:bCs/>
          <w:sz w:val="26"/>
          <w:szCs w:val="26"/>
        </w:rPr>
        <w:t xml:space="preserve">Chương I</w:t>
      </w:r>
    </w:p>
    <w:p>
      <w:pPr>
        <w:spacing w:after="60" w:before="60" w:line="300"/>
        <w:ind w:firstLine="400"/>
        <w:jc w:val="both"/>
      </w:pPr>
      <w:r>
        <w:rPr>
          <w:rFonts w:ascii="Times New Roman" w:cs="Times New Roman" w:eastAsia="Times New Roman" w:hAnsi="Times New Roman"/>
          <w:sz w:val="26"/>
          <w:szCs w:val="26"/>
        </w:rPr>
        <w:t xml:space="preserve">QUY ĐỊNH CHUNG</w:t>
      </w:r>
    </w:p>
    <w:p>
      <w:pPr>
        <w:spacing w:after="100" w:before="200"/>
      </w:pPr>
      <w:r>
        <w:rPr>
          <w:rFonts w:ascii="Times New Roman" w:cs="Times New Roman" w:eastAsia="Times New Roman" w:hAnsi="Times New Roman"/>
          <w:b/>
          <w:bCs/>
          <w:sz w:val="26"/>
          <w:szCs w:val="26"/>
        </w:rPr>
        <w:t xml:space="preserve">Điều 1. Phạm vi điều chỉnh</w:t>
      </w:r>
    </w:p>
    <w:p>
      <w:pPr>
        <w:spacing w:after="60" w:before="60" w:line="300"/>
        <w:ind w:firstLine="400"/>
        <w:jc w:val="both"/>
      </w:pPr>
      <w:r>
        <w:rPr>
          <w:rFonts w:ascii="Times New Roman" w:cs="Times New Roman" w:eastAsia="Times New Roman" w:hAnsi="Times New Roman"/>
          <w:sz w:val="26"/>
          <w:szCs w:val="26"/>
        </w:rPr>
        <w:t xml:space="preserve">Nghị định này quy định việc quản lý, sử dụng hóa đơn khi bán hàng hóa, cung cấp dịch vụ; việc quản lý, sử dụng chứng từ khi thực hiện các thủ tục về thuế, thu phí, lệ phí và quy định nhiệm vụ, quyền hạn và trách nhiệm của cơ quan, tổ chức, cá nhân trong việc quản lý, sử dụng hóa đơn, chứng từ.</w:t>
      </w:r>
    </w:p>
    <w:p>
      <w:pPr>
        <w:spacing w:after="100" w:before="200"/>
      </w:pPr>
      <w:r>
        <w:rPr>
          <w:rFonts w:ascii="Times New Roman" w:cs="Times New Roman" w:eastAsia="Times New Roman" w:hAnsi="Times New Roman"/>
          <w:b/>
          <w:bCs/>
          <w:sz w:val="26"/>
          <w:szCs w:val="26"/>
        </w:rPr>
        <w:t xml:space="preserve">Điều 2. Đối tượng áp dụng</w:t>
      </w:r>
    </w:p>
    <w:p>
      <w:pPr>
        <w:spacing w:after="60" w:before="60" w:line="300"/>
        <w:ind w:firstLine="400"/>
        <w:jc w:val="both"/>
      </w:pPr>
      <w:r>
        <w:rPr>
          <w:rFonts w:ascii="Times New Roman" w:cs="Times New Roman" w:eastAsia="Times New Roman" w:hAnsi="Times New Roman"/>
          <w:sz w:val="26"/>
          <w:szCs w:val="26"/>
        </w:rPr>
        <w:t xml:space="preserve">1. Tổ chức, doanh nghiệp, cá nhân bán hàng hóa, cung cấp dịch vụ.</w:t>
      </w:r>
    </w:p>
    <w:p>
      <w:pPr>
        <w:spacing w:after="60" w:before="60" w:line="300"/>
        <w:ind w:firstLine="400"/>
        <w:jc w:val="both"/>
      </w:pPr>
      <w:r>
        <w:rPr>
          <w:rFonts w:ascii="Times New Roman" w:cs="Times New Roman" w:eastAsia="Times New Roman" w:hAnsi="Times New Roman"/>
          <w:sz w:val="26"/>
          <w:szCs w:val="26"/>
        </w:rPr>
        <w:t xml:space="preserve">2. Tổ chức, cá nhân mua hàng hóa, dịch vụ.</w:t>
      </w:r>
    </w:p>
    <w:p>
      <w:pPr>
        <w:spacing w:after="60" w:before="60" w:line="300"/>
        <w:ind w:firstLine="400"/>
        <w:jc w:val="both"/>
      </w:pPr>
      <w:r>
        <w:rPr>
          <w:rFonts w:ascii="Times New Roman" w:cs="Times New Roman" w:eastAsia="Times New Roman" w:hAnsi="Times New Roman"/>
          <w:sz w:val="26"/>
          <w:szCs w:val="26"/>
        </w:rPr>
        <w:t xml:space="preserve">3. Cơ quan quản lý thuế, công chức thuế và các cơ quan, tổ chức, cá nhân có liên quan.</w:t>
      </w:r>
    </w:p>
    <w:p>
      <w:pPr>
        <w:spacing w:after="100" w:before="200"/>
      </w:pPr>
      <w:r>
        <w:rPr>
          <w:rFonts w:ascii="Times New Roman" w:cs="Times New Roman" w:eastAsia="Times New Roman" w:hAnsi="Times New Roman"/>
          <w:b/>
          <w:bCs/>
          <w:sz w:val="26"/>
          <w:szCs w:val="26"/>
        </w:rPr>
        <w:t xml:space="preserve">Điều 3. Nguyên tắc lập, quản lý, sử dụng hóa đơn, chứng từ</w:t>
      </w:r>
    </w:p>
    <w:p>
      <w:pPr>
        <w:spacing w:after="60" w:before="60" w:line="300"/>
        <w:ind w:firstLine="400"/>
        <w:jc w:val="both"/>
      </w:pPr>
      <w:r>
        <w:rPr>
          <w:rFonts w:ascii="Times New Roman" w:cs="Times New Roman" w:eastAsia="Times New Roman" w:hAnsi="Times New Roman"/>
          <w:sz w:val="26"/>
          <w:szCs w:val="26"/>
        </w:rPr>
        <w:t xml:space="preserve">1. Khi bán hàng hóa, cung cấp dịch vụ, người bán phải lập hóa đơn để giao cho người mua (bao gồm cả các trường hợp hàng hóa, dịch vụ dùng để khuyến mại, quảng cáo, hàng mẫu; hàng hóa, dịch vụ dùng để cho, biếu, tặng, trao đổi, trả thay lương cho người lao động và tiêu dùng nội bộ).</w:t>
      </w:r>
    </w:p>
    <w:p>
      <w:pPr>
        <w:spacing w:after="60" w:before="60" w:line="300"/>
        <w:ind w:firstLine="400"/>
        <w:jc w:val="both"/>
      </w:pPr>
      <w:r>
        <w:rPr>
          <w:rFonts w:ascii="Times New Roman" w:cs="Times New Roman" w:eastAsia="Times New Roman" w:hAnsi="Times New Roman"/>
          <w:sz w:val="26"/>
          <w:szCs w:val="26"/>
        </w:rPr>
        <w:t xml:space="preserve">2. Hóa đơn điện tử phải được lập theo đúng định dạng chuẩn dữ liệu do Tổng cục Thuế quy định và được truyền nhận qua các tổ chức cung cấp dịch vụ hóa đơn điện tử hợp pháp.</w:t>
      </w:r>
    </w:p>
    <w:p>
      <w:pPr>
        <w:spacing w:after="100" w:before="200"/>
      </w:pPr>
      <w:r>
        <w:rPr>
          <w:rFonts w:ascii="Times New Roman" w:cs="Times New Roman" w:eastAsia="Times New Roman" w:hAnsi="Times New Roman"/>
          <w:b/>
          <w:bCs/>
          <w:sz w:val="26"/>
          <w:szCs w:val="26"/>
        </w:rPr>
        <w:t xml:space="preserve">Chương II</w:t>
      </w:r>
    </w:p>
    <w:p>
      <w:pPr>
        <w:spacing w:after="60" w:before="60" w:line="300"/>
        <w:ind w:firstLine="400"/>
        <w:jc w:val="both"/>
      </w:pPr>
      <w:r>
        <w:rPr>
          <w:rFonts w:ascii="Times New Roman" w:cs="Times New Roman" w:eastAsia="Times New Roman" w:hAnsi="Times New Roman"/>
          <w:sz w:val="26"/>
          <w:szCs w:val="26"/>
        </w:rPr>
        <w:t xml:space="preserve">HÓA ĐƠN ĐIỆN TỬ CÓ MÃ VÀ KHÔNG CÓ MÃ CỦA CƠ QUAN THUẾ</w:t>
      </w:r>
    </w:p>
    <w:p>
      <w:pPr>
        <w:spacing w:after="100" w:before="200"/>
      </w:pPr>
      <w:r>
        <w:rPr>
          <w:rFonts w:ascii="Times New Roman" w:cs="Times New Roman" w:eastAsia="Times New Roman" w:hAnsi="Times New Roman"/>
          <w:b/>
          <w:bCs/>
          <w:sz w:val="26"/>
          <w:szCs w:val="26"/>
        </w:rPr>
        <w:t xml:space="preserve">Điều 4. Áp dụng hóa đơn điện tử</w:t>
      </w:r>
    </w:p>
    <w:p>
      <w:pPr>
        <w:spacing w:after="60" w:before="60" w:line="300"/>
        <w:ind w:firstLine="400"/>
        <w:jc w:val="both"/>
      </w:pPr>
      <w:r>
        <w:rPr>
          <w:rFonts w:ascii="Times New Roman" w:cs="Times New Roman" w:eastAsia="Times New Roman" w:hAnsi="Times New Roman"/>
          <w:sz w:val="26"/>
          <w:szCs w:val="26"/>
        </w:rPr>
        <w:t xml:space="preserve">1. Hóa đơn điện tử có mã của cơ quan thuế: Là hóa đơn điện tử được cơ quan thuế cấp mã trước khi tổ chức, cá nhân bán hàng hóa, cung cấp dịch vụ gửi cho người mua.</w:t>
      </w:r>
    </w:p>
    <w:p>
      <w:pPr>
        <w:spacing w:after="60" w:before="60" w:line="300"/>
        <w:ind w:firstLine="400"/>
        <w:jc w:val="both"/>
      </w:pPr>
      <w:r>
        <w:rPr>
          <w:rFonts w:ascii="Times New Roman" w:cs="Times New Roman" w:eastAsia="Times New Roman" w:hAnsi="Times New Roman"/>
          <w:sz w:val="26"/>
          <w:szCs w:val="26"/>
        </w:rPr>
        <w:t xml:space="preserve">2. Hóa đơn điện tử không có mã của cơ quan thuế: Áp dụng đối với các doanh nghiệp kinh doanh trong lĩnh vực điện lực, xăng dầu, bưu chính viễn thông, vận tải, nước sạch, tài chính tín dụng, bảo hiểm, y tế, kinh doanh thương mại điện tử, siêu thị, thương mại.</w:t>
      </w:r>
    </w:p>
    <w:p>
      <w:pPr>
        <w:spacing w:after="100" w:before="200"/>
      </w:pPr>
      <w:r>
        <w:rPr>
          <w:rFonts w:ascii="Times New Roman" w:cs="Times New Roman" w:eastAsia="Times New Roman" w:hAnsi="Times New Roman"/>
          <w:b/>
          <w:bCs/>
          <w:sz w:val="26"/>
          <w:szCs w:val="26"/>
        </w:rPr>
        <w:t xml:space="preserve">Điều 5. Xử lý hóa đơn điện tử có sai sót</w:t>
      </w:r>
    </w:p>
    <w:p>
      <w:pPr>
        <w:spacing w:after="60" w:before="60" w:line="300"/>
        <w:ind w:firstLine="400"/>
        <w:jc w:val="both"/>
      </w:pPr>
      <w:r>
        <w:rPr>
          <w:rFonts w:ascii="Times New Roman" w:cs="Times New Roman" w:eastAsia="Times New Roman" w:hAnsi="Times New Roman"/>
          <w:sz w:val="26"/>
          <w:szCs w:val="26"/>
        </w:rPr>
        <w:t xml:space="preserve">1. Trường hợp người bán tự phát hiện hóa đơn điện tử đã được cấp mã của cơ quan thuế chưa gửi cho người mua có sai sót: Hủy hóa đơn đã lập và lập hóa đơn điện tử mới gửi cơ quan thuế cấp mã mới.</w:t>
      </w:r>
    </w:p>
    <w:p>
      <w:pPr>
        <w:spacing w:after="60" w:before="60" w:line="300"/>
        <w:ind w:firstLine="400"/>
        <w:jc w:val="both"/>
      </w:pPr>
      <w:r>
        <w:rPr>
          <w:rFonts w:ascii="Times New Roman" w:cs="Times New Roman" w:eastAsia="Times New Roman" w:hAnsi="Times New Roman"/>
          <w:sz w:val="26"/>
          <w:szCs w:val="26"/>
        </w:rPr>
        <w:t xml:space="preserve">2. Trường hợp hóa đơn điện tử đã gửi cho người mua có sai sót về tên, địa chỉ người mua nhưng không sai mã số thuế và các nội dung khác: Người bán thông báo cho người mua về việc hóa đơn có sai sót và không phải lập lại hóa đơn, đồng thời gửi Mẫu số 04/SS-HĐĐT cho cơ quan thuế.</w:t>
      </w:r>
    </w:p>
    <w:p>
      <w:pPr>
        <w:spacing w:after="60" w:before="60" w:line="300"/>
        <w:ind w:firstLine="400"/>
        <w:jc w:val="both"/>
      </w:pPr>
      <w:r>
        <w:rPr>
          <w:rFonts w:ascii="Times New Roman" w:cs="Times New Roman" w:eastAsia="Times New Roman" w:hAnsi="Times New Roman"/>
          <w:sz w:val="26"/>
          <w:szCs w:val="26"/>
        </w:rPr>
        <w:t xml:space="preserve">3. Trường hợp sai sót về mã số thuế, số tiền, thuế suất, tiền thuế hoặc hàng hóa không đúng quy cách, chất lượng: Người bán có thể lựa chọn lập hóa đơn điện tử điều chỉnh hoặc lập hóa đơn điện tử thay thế.</w:t>
      </w:r>
    </w:p>
    <w:p>
      <w:pPr>
        <w:spacing w:after="100" w:before="200"/>
      </w:pPr>
      <w:r>
        <w:rPr>
          <w:rFonts w:ascii="Times New Roman" w:cs="Times New Roman" w:eastAsia="Times New Roman" w:hAnsi="Times New Roman"/>
          <w:b/>
          <w:bCs/>
          <w:sz w:val="26"/>
          <w:szCs w:val="26"/>
        </w:rPr>
        <w:t xml:space="preserve">Chương III</w:t>
      </w:r>
    </w:p>
    <w:p>
      <w:pPr>
        <w:spacing w:after="60" w:before="60" w:line="300"/>
        <w:ind w:firstLine="400"/>
        <w:jc w:val="both"/>
      </w:pPr>
      <w:r>
        <w:rPr>
          <w:rFonts w:ascii="Times New Roman" w:cs="Times New Roman" w:eastAsia="Times New Roman" w:hAnsi="Times New Roman"/>
          <w:sz w:val="26"/>
          <w:szCs w:val="26"/>
        </w:rPr>
        <w:t xml:space="preserve">ĐIỀU KHOẢN THI HÀNH</w:t>
      </w:r>
    </w:p>
    <w:p>
      <w:pPr>
        <w:spacing w:after="100" w:before="200"/>
      </w:pPr>
      <w:r>
        <w:rPr>
          <w:rFonts w:ascii="Times New Roman" w:cs="Times New Roman" w:eastAsia="Times New Roman" w:hAnsi="Times New Roman"/>
          <w:b/>
          <w:bCs/>
          <w:sz w:val="26"/>
          <w:szCs w:val="26"/>
        </w:rPr>
        <w:t xml:space="preserve">Điều 6. Hiệu lực thi hành</w:t>
      </w:r>
    </w:p>
    <w:p>
      <w:pPr>
        <w:spacing w:after="60" w:before="60" w:line="300"/>
        <w:ind w:firstLine="400"/>
        <w:jc w:val="both"/>
      </w:pPr>
      <w:r>
        <w:rPr>
          <w:rFonts w:ascii="Times New Roman" w:cs="Times New Roman" w:eastAsia="Times New Roman" w:hAnsi="Times New Roman"/>
          <w:sz w:val="26"/>
          <w:szCs w:val="26"/>
        </w:rPr>
        <w:t xml:space="preserve">Nghị định này có hiệu lực thi hành từ ngày 01 tháng 7 năm 2022. Khuyến khích cơ quan, tổ chức, cá nhân đáp ứng điều kiện về hạ tầng công nghệ thông tin áp dụng quy định về hóa đơn, chứng từ điện tử của Nghị định này trước ngày 01 tháng 7 năm 2022.</w:t>
      </w:r>
    </w:p>
    <w:p>
      <w:pPr>
        <w:spacing w:after="60" w:before="60" w:line="300"/>
        <w:ind w:firstLine="400"/>
        <w:jc w:val="both"/>
      </w:pPr>
      <w:r>
        <w:rPr>
          <w:rFonts w:ascii="Times New Roman" w:cs="Times New Roman" w:eastAsia="Times New Roman" w:hAnsi="Times New Roman"/>
          <w:sz w:val="26"/>
          <w:szCs w:val="26"/>
        </w:rPr>
        <w:t xml:space="preserve">CHÍNH PHỦ</w:t>
      </w:r>
    </w:p>
    <w:p>
      <w:pPr>
        <w:spacing w:after="60" w:before="60" w:line="300"/>
        <w:ind w:firstLine="400"/>
        <w:jc w:val="both"/>
      </w:pPr>
      <w:r>
        <w:rPr>
          <w:rFonts w:ascii="Times New Roman" w:cs="Times New Roman" w:eastAsia="Times New Roman" w:hAnsi="Times New Roman"/>
          <w:sz w:val="26"/>
          <w:szCs w:val="26"/>
        </w:rPr>
        <w:t xml:space="preserve">THỦ TƯỚNG</w:t>
      </w:r>
    </w:p>
    <w:p>
      <w:pPr>
        <w:spacing w:after="60" w:before="60" w:line="300"/>
        <w:ind w:firstLine="400"/>
        <w:jc w:val="both"/>
      </w:pPr>
      <w:r>
        <w:rPr>
          <w:rFonts w:ascii="Times New Roman" w:cs="Times New Roman" w:eastAsia="Times New Roman" w:hAnsi="Times New Roman"/>
          <w:sz w:val="26"/>
          <w:szCs w:val="26"/>
        </w:rPr>
        <w:t xml:space="preserve">Nguyễn Xuân Phúc</w:t>
      </w:r>
    </w:p>
    <w:tbl>
      <w:tblPr>
        <w:tblW w:type="pct" w:w="100%"/>
        <w:tblBorders>
          <w:top w:val="none"/>
          <w:left w:val="none"/>
          <w:bottom w:val="none"/>
          <w:right w:val="none"/>
          <w:insideH w:val="none"/>
          <w:insideV w:val="none"/>
        </w:tblBorders>
      </w:tblPr>
      <w:tblGrid>
        <w:gridCol w:w="100"/>
        <w:gridCol w:w="100"/>
      </w:tblGrid>
      <w:tr>
        <w:tc>
          <w:tcPr>
            <w:tcW w:type="pct" w:w="50%"/>
          </w:tcPr>
          <w:p>
            <w:pPr>
              <w:spacing w:before="240"/>
            </w:pPr>
            <w:r>
              <w:rPr>
                <w:rFonts w:ascii="Times New Roman" w:cs="Times New Roman" w:eastAsia="Times New Roman" w:hAnsi="Times New Roman"/>
                <w:b/>
                <w:bCs/>
                <w:i/>
                <w:iCs/>
                <w:sz w:val="22"/>
                <w:szCs w:val="22"/>
              </w:rPr>
              <w:t xml:space="preserve">Nơi nhận:</w:t>
            </w:r>
          </w:p>
          <w:p>
            <w:r>
              <w:rPr>
                <w:rFonts w:ascii="Times New Roman" w:cs="Times New Roman" w:eastAsia="Times New Roman" w:hAnsi="Times New Roman"/>
                <w:sz w:val="20"/>
                <w:szCs w:val="20"/>
              </w:rPr>
              <w:t xml:space="preserve">- Như trên;
- Ban Giám đốc;
- Lưu: VT, Hồ sơ.</w:t>
            </w:r>
          </w:p>
        </w:tc>
        <w:tc>
          <w:tcPr>
            <w:tcW w:type="pct" w:w="50%"/>
          </w:tcPr>
          <w:p>
            <w:pPr>
              <w:spacing w:before="240"/>
              <w:jc w:val="center"/>
            </w:pPr>
            <w:r>
              <w:rPr>
                <w:rFonts w:ascii="Times New Roman" w:cs="Times New Roman" w:eastAsia="Times New Roman" w:hAnsi="Times New Roman"/>
                <w:b/>
                <w:bCs/>
                <w:sz w:val="24"/>
                <w:szCs w:val="24"/>
              </w:rPr>
              <w:t xml:space="preserve">THỦ TRƯỞNG CƠ QUAN</w:t>
            </w:r>
          </w:p>
          <w:p>
            <w:pPr>
              <w:spacing w:before="600"/>
              <w:jc w:val="center"/>
            </w:pPr>
            <w:r>
              <w:rPr>
                <w:rFonts w:ascii="Times New Roman" w:cs="Times New Roman" w:eastAsia="Times New Roman" w:hAnsi="Times New Roman"/>
                <w:b/>
                <w:bCs/>
                <w:sz w:val="26"/>
                <w:szCs w:val="26"/>
              </w:rPr>
              <w:t xml:space="preserve">Nguyễn Xuân Phúc</w:t>
            </w:r>
          </w:p>
        </w:tc>
      </w:tr>
    </w:tbl>
    <w:sectPr>
      <w:pgSz w:w="11906" w:h="16838" w:orient="portrait"/>
      <w:pgMar w:top="1440" w:right="1134" w:bottom="1440" w:left="17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2026-08-29T13:08:37.197Z</dcterms:created>
  <dcterms:modified xsi:type="dcterms:W3CDTF">2026-08-29T13:08:37.197Z</dcterms:modified>
</cp:coreProperties>
</file>

<file path=docProps/custom.xml><?xml version="1.0" encoding="utf-8"?>
<Properties xmlns="http://schemas.openxmlformats.org/officeDocument/2006/custom-properties" xmlns:vt="http://schemas.openxmlformats.org/officeDocument/2006/docPropsVTypes"/>
</file>