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168/2025/NĐ-CP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30/06/2025</w:t>
            </w:r>
          </w:p>
        </w:tc>
      </w:tr>
    </w:tbl>
    <w:p>
      <w:pPr>
        <w:spacing w:after="240" w:before="360"/>
        <w:jc w:val="center"/>
      </w:pPr>
      <w:r>
        <w:rPr>
          <w:rFonts w:ascii="Times New Roman" w:cs="Times New Roman" w:eastAsia="Times New Roman" w:hAnsi="Times New Roman"/>
          <w:b/>
          <w:bCs/>
          <w:sz w:val="28"/>
          <w:szCs w:val="28"/>
        </w:rPr>
        <w:t xml:space="preserve">NGHỊ ĐỊNH 168/2025/NĐ-CP QUY ĐỊNH VỀ ĐĂNG KÝ DOANH NGHIỆP</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168/2025/NĐ-CP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30 tháng 6 năm 2025</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Quy định về đăng ký doanh nghiệp</w:t>
      </w:r>
    </w:p>
    <w:p>
      <w:pPr>
        <w:spacing w:after="60" w:before="60" w:line="300"/>
        <w:ind w:firstLine="400"/>
        <w:jc w:val="both"/>
      </w:pPr>
      <w:r>
        <w:rPr>
          <w:rFonts w:ascii="Times New Roman" w:cs="Times New Roman" w:eastAsia="Times New Roman" w:hAnsi="Times New Roman"/>
          <w:sz w:val="26"/>
          <w:szCs w:val="26"/>
        </w:rPr>
        <w:t xml:space="preserve">Căn cứ Luật Doanh nghiệp số 59/2020/QH14 và Luật số 76/2025/QH15;</w:t>
      </w:r>
    </w:p>
    <w:p>
      <w:pPr>
        <w:spacing w:after="60" w:before="60" w:line="300"/>
        <w:ind w:firstLine="400"/>
        <w:jc w:val="both"/>
      </w:pPr>
      <w:r>
        <w:rPr>
          <w:rFonts w:ascii="Times New Roman" w:cs="Times New Roman" w:eastAsia="Times New Roman" w:hAnsi="Times New Roman"/>
          <w:sz w:val="26"/>
          <w:szCs w:val="26"/>
        </w:rPr>
        <w:t xml:space="preserve">Chính phủ ban hành Nghị định về hồ sơ, trình tự, thủ tục đăng ký doanh nghiệp trực tuyến hoàn toàn qua VNeID.</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Quy định chi tiết về hồ sơ, trình tự, thủ tục đăng ký thành lập, đăng ký thay đổi nội dung đăng ký doanh nghiệp, tạm ngừng kinh doanh, giải thể doanh nghiệp qua mạng thông tin điện tử.</w:t>
      </w:r>
    </w:p>
    <w:p>
      <w:pPr>
        <w:spacing w:after="100" w:before="200"/>
      </w:pPr>
      <w:r>
        <w:rPr>
          <w:rFonts w:ascii="Times New Roman" w:cs="Times New Roman" w:eastAsia="Times New Roman" w:hAnsi="Times New Roman"/>
          <w:b/>
          <w:bCs/>
          <w:sz w:val="26"/>
          <w:szCs w:val="26"/>
        </w:rPr>
        <w:t xml:space="preserve">Điều 2. Liên thông thủ tục đăng ký kinh doanh và đăng ký thuế, lao động, BHXH</w:t>
      </w:r>
    </w:p>
    <w:p>
      <w:pPr>
        <w:spacing w:after="60" w:before="60" w:line="300"/>
        <w:ind w:firstLine="400"/>
        <w:jc w:val="both"/>
      </w:pPr>
      <w:r>
        <w:rPr>
          <w:rFonts w:ascii="Times New Roman" w:cs="Times New Roman" w:eastAsia="Times New Roman" w:hAnsi="Times New Roman"/>
          <w:sz w:val="26"/>
          <w:szCs w:val="26"/>
        </w:rPr>
        <w:t xml:space="preserve">Thực hiện một cửa liên thông: Mã số doanh nghiệp đồng thời là mã số thuế, mã số đơn vị tham gia bảo hiểm xã hội.</w:t>
      </w:r>
    </w:p>
    <w:p>
      <w:pPr>
        <w:spacing w:after="100" w:before="200"/>
      </w:pPr>
      <w:r>
        <w:rPr>
          <w:rFonts w:ascii="Times New Roman" w:cs="Times New Roman" w:eastAsia="Times New Roman" w:hAnsi="Times New Roman"/>
          <w:b/>
          <w:bCs/>
          <w:sz w:val="26"/>
          <w:szCs w:val="26"/>
        </w:rPr>
        <w:t xml:space="preserve">Điều 3.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từ ngày 01 tháng 7 năm 2025, thay thế Nghị định 01/2021/NĐ-CP.</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Phạm Minh Chính</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Phạm Minh Chính</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2026-08-29T13:08:37.104Z</dcterms:created>
  <dcterms:modified xsi:type="dcterms:W3CDTF">2026-08-29T13:08:37.104Z</dcterms:modified>
</cp:coreProperties>
</file>

<file path=docProps/custom.xml><?xml version="1.0" encoding="utf-8"?>
<Properties xmlns="http://schemas.openxmlformats.org/officeDocument/2006/custom-properties" xmlns:vt="http://schemas.openxmlformats.org/officeDocument/2006/docPropsVTypes"/>
</file>