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248/2025/NĐ-CP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01/08/2025</w:t>
            </w:r>
          </w:p>
        </w:tc>
      </w:tr>
    </w:tbl>
    <w:p>
      <w:pPr>
        <w:spacing w:after="240" w:before="360"/>
        <w:jc w:val="center"/>
      </w:pPr>
      <w:r>
        <w:rPr>
          <w:rFonts w:ascii="Times New Roman" w:cs="Times New Roman" w:eastAsia="Times New Roman" w:hAnsi="Times New Roman"/>
          <w:b/>
          <w:bCs/>
          <w:sz w:val="28"/>
          <w:szCs w:val="28"/>
        </w:rPr>
        <w:t xml:space="preserve">NGHỊ ĐỊNH 248/2025/NĐ-CP QUY ĐỊNH CHẾ ĐỘ TIỀN LƯƠNG, THÙ LAO, TIỀN THƯỞNG CỦA NGƯỜI QUẢN LÝ DOANH NGHIỆP VÀ ĐẠI DIỆN VỐN NHÀ NƯỚC</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248/2025/NĐ-CP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01 tháng 8 năm 2025</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chế độ tiền lương, thù lao, tiền thưởng của người quản lý doanh nghiệp và đại diện vốn nhà nước</w:t>
      </w:r>
    </w:p>
    <w:p>
      <w:pPr>
        <w:spacing w:after="60" w:before="60" w:line="300"/>
        <w:ind w:firstLine="400"/>
        <w:jc w:val="both"/>
      </w:pPr>
      <w:r>
        <w:rPr>
          <w:rFonts w:ascii="Times New Roman" w:cs="Times New Roman" w:eastAsia="Times New Roman" w:hAnsi="Times New Roman"/>
          <w:sz w:val="26"/>
          <w:szCs w:val="26"/>
        </w:rPr>
        <w:t xml:space="preserve">Căn cứ Luật Doanh nghiệp và Bộ luật Lao động;</w:t>
      </w:r>
    </w:p>
    <w:p>
      <w:pPr>
        <w:spacing w:after="60" w:before="60" w:line="300"/>
        <w:ind w:firstLine="400"/>
        <w:jc w:val="both"/>
      </w:pPr>
      <w:r>
        <w:rPr>
          <w:rFonts w:ascii="Times New Roman" w:cs="Times New Roman" w:eastAsia="Times New Roman" w:hAnsi="Times New Roman"/>
          <w:sz w:val="26"/>
          <w:szCs w:val="26"/>
        </w:rPr>
        <w:t xml:space="preserve">Chính phủ ban hành quy chế trả lương, thưởng gắn liền với hiệu quả sản xuất kinh doanh và bảo toàn vốn nhà nước.</w:t>
      </w:r>
    </w:p>
    <w:p>
      <w:pPr>
        <w:spacing w:after="100" w:before="200"/>
      </w:pPr>
      <w:r>
        <w:rPr>
          <w:rFonts w:ascii="Times New Roman" w:cs="Times New Roman" w:eastAsia="Times New Roman" w:hAnsi="Times New Roman"/>
          <w:b/>
          <w:bCs/>
          <w:sz w:val="26"/>
          <w:szCs w:val="26"/>
        </w:rPr>
        <w:t xml:space="preserve">Điều 1. Nguyên tắc xác định quỹ tiền lương của người quản lý</w:t>
      </w:r>
    </w:p>
    <w:p>
      <w:pPr>
        <w:spacing w:after="60" w:before="60" w:line="300"/>
        <w:ind w:firstLine="400"/>
        <w:jc w:val="both"/>
      </w:pPr>
      <w:r>
        <w:rPr>
          <w:rFonts w:ascii="Times New Roman" w:cs="Times New Roman" w:eastAsia="Times New Roman" w:hAnsi="Times New Roman"/>
          <w:sz w:val="26"/>
          <w:szCs w:val="26"/>
        </w:rPr>
        <w:t xml:space="preserve">Quỹ tiền lương được xác định trên cơ sở mức lương cơ bản theo hạng doanh nghiệp, gắn liền với chỉ tiêu lợi nhuận sau thuế và tỷ suất lợi nhuận trên vốn chủ sở hữu (ROE).</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15 tháng 9 năm 2025.</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2026-08-29T13:08:37.066Z</dcterms:created>
  <dcterms:modified xsi:type="dcterms:W3CDTF">2026-08-29T13:08:37.066Z</dcterms:modified>
</cp:coreProperties>
</file>

<file path=docProps/custom.xml><?xml version="1.0" encoding="utf-8"?>
<Properties xmlns="http://schemas.openxmlformats.org/officeDocument/2006/custom-properties" xmlns:vt="http://schemas.openxmlformats.org/officeDocument/2006/docPropsVTypes"/>
</file>