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255/2026/NĐ-CP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20/06/2026</w:t>
            </w:r>
          </w:p>
        </w:tc>
      </w:tr>
    </w:tbl>
    <w:p>
      <w:pPr>
        <w:spacing w:after="240" w:before="360"/>
        <w:jc w:val="center"/>
      </w:pPr>
      <w:r>
        <w:rPr>
          <w:rFonts w:ascii="Times New Roman" w:cs="Times New Roman" w:eastAsia="Times New Roman" w:hAnsi="Times New Roman"/>
          <w:b/>
          <w:bCs/>
          <w:sz w:val="28"/>
          <w:szCs w:val="28"/>
        </w:rPr>
        <w:t xml:space="preserve">NGHỊ ĐỊNH 255/2026/NĐ-CP QUY ĐỊNH VỀ QUẢN LÝ THUẾ ĐỐI VỚI DOANH NGHIỆP CÓ GIAO DỊCH LIÊN KẾT</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255/2026/NĐ-CP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 tháng 6 năm 2026</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về quản lý thuế đối với doanh nghiệp có giao dịch liên kết</w:t>
      </w:r>
    </w:p>
    <w:p>
      <w:pPr>
        <w:spacing w:after="60" w:before="60" w:line="300"/>
        <w:ind w:firstLine="400"/>
        <w:jc w:val="both"/>
      </w:pPr>
      <w:r>
        <w:rPr>
          <w:rFonts w:ascii="Times New Roman" w:cs="Times New Roman" w:eastAsia="Times New Roman" w:hAnsi="Times New Roman"/>
          <w:sz w:val="26"/>
          <w:szCs w:val="26"/>
        </w:rPr>
        <w:t xml:space="preserve">Căn cứ Luật Tổ chức Chính phủ ngày 19 tháng 6 năm 2015;</w:t>
      </w:r>
    </w:p>
    <w:p>
      <w:pPr>
        <w:spacing w:after="60" w:before="60" w:line="300"/>
        <w:ind w:firstLine="400"/>
        <w:jc w:val="both"/>
      </w:pPr>
      <w:r>
        <w:rPr>
          <w:rFonts w:ascii="Times New Roman" w:cs="Times New Roman" w:eastAsia="Times New Roman" w:hAnsi="Times New Roman"/>
          <w:sz w:val="26"/>
          <w:szCs w:val="26"/>
        </w:rPr>
        <w:t xml:space="preserve">Căn cứ Luật Quản lý thuế ngày 13 tháng 6 năm 2019;</w:t>
      </w:r>
    </w:p>
    <w:p>
      <w:pPr>
        <w:spacing w:after="60" w:before="60" w:line="300"/>
        <w:ind w:firstLine="400"/>
        <w:jc w:val="both"/>
      </w:pPr>
      <w:r>
        <w:rPr>
          <w:rFonts w:ascii="Times New Roman" w:cs="Times New Roman" w:eastAsia="Times New Roman" w:hAnsi="Times New Roman"/>
          <w:sz w:val="26"/>
          <w:szCs w:val="26"/>
        </w:rPr>
        <w:t xml:space="preserve">Căn cứ Luật Thuế thu nhập doanh nghiệp số 67/2025/QH15;</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thay thế hoàn toàn Nghị định 132/2020/NĐ-CP từ kỳ tính thuế 2026.</w:t>
      </w:r>
    </w:p>
    <w:p>
      <w:pPr>
        <w:spacing w:after="100" w:before="200"/>
      </w:pPr>
      <w:r>
        <w:rPr>
          <w:rFonts w:ascii="Times New Roman" w:cs="Times New Roman" w:eastAsia="Times New Roman" w:hAnsi="Times New Roman"/>
          <w:b/>
          <w:bCs/>
          <w:sz w:val="26"/>
          <w:szCs w:val="26"/>
        </w:rPr>
        <w:t xml:space="preserve">Điều 1. Phạm vi điều chỉnh và nguyên tắc áp dụng</w:t>
      </w:r>
    </w:p>
    <w:p>
      <w:pPr>
        <w:spacing w:after="60" w:before="60" w:line="300"/>
        <w:ind w:firstLine="400"/>
        <w:jc w:val="both"/>
      </w:pPr>
      <w:r>
        <w:rPr>
          <w:rFonts w:ascii="Times New Roman" w:cs="Times New Roman" w:eastAsia="Times New Roman" w:hAnsi="Times New Roman"/>
          <w:sz w:val="26"/>
          <w:szCs w:val="26"/>
        </w:rPr>
        <w:t xml:space="preserve">1. Nghị định này quy định về xác định giá giao dịch liên kết, kê khai thông tin giao dịch liên kết, quản lý chi phí lãi vay và nghĩa vụ nộp Báo cáo lợi nhuận liên quốc gia (CbCR).</w:t>
      </w:r>
    </w:p>
    <w:p>
      <w:pPr>
        <w:spacing w:after="60" w:before="60" w:line="300"/>
        <w:ind w:firstLine="400"/>
        <w:jc w:val="both"/>
      </w:pPr>
      <w:r>
        <w:rPr>
          <w:rFonts w:ascii="Times New Roman" w:cs="Times New Roman" w:eastAsia="Times New Roman" w:hAnsi="Times New Roman"/>
          <w:sz w:val="26"/>
          <w:szCs w:val="26"/>
        </w:rPr>
        <w:t xml:space="preserve">2. Áp dụng nguyên tắc bản chất hoạt động, giao dịch quyết định nghĩa vụ thuế và nguyên tắc giao dịch độc lập (Arm's length principle).</w:t>
      </w:r>
    </w:p>
    <w:p>
      <w:pPr>
        <w:spacing w:after="100" w:before="200"/>
      </w:pPr>
      <w:r>
        <w:rPr>
          <w:rFonts w:ascii="Times New Roman" w:cs="Times New Roman" w:eastAsia="Times New Roman" w:hAnsi="Times New Roman"/>
          <w:b/>
          <w:bCs/>
          <w:sz w:val="26"/>
          <w:szCs w:val="26"/>
        </w:rPr>
        <w:t xml:space="preserve">Điều 2. Khống chế trần chi phí lãi vay (EBITDA)</w:t>
      </w:r>
    </w:p>
    <w:p>
      <w:pPr>
        <w:spacing w:after="60" w:before="60" w:line="300"/>
        <w:ind w:firstLine="400"/>
        <w:jc w:val="both"/>
      </w:pPr>
      <w:r>
        <w:rPr>
          <w:rFonts w:ascii="Times New Roman" w:cs="Times New Roman" w:eastAsia="Times New Roman" w:hAnsi="Times New Roman"/>
          <w:sz w:val="26"/>
          <w:szCs w:val="26"/>
        </w:rPr>
        <w:t xml:space="preserve">1. Tổng chi phí lãi vay sau khi trừ lãi tiền gửi và lãi cho vay phát sinh trong kỳ của người nộp thuế được trừ khi xác định thu nhập chịu thuế TNDN không vượt quá 30% của tổng lợi nhuận thuần từ hoạt động kinh doanh cộng chi phí lãi vay sau khi trừ lãi tiền gửi và lãi cho vay cộng chi phí khấu hao phát sinh trong kỳ (EBITDA).</w:t>
      </w:r>
    </w:p>
    <w:p>
      <w:pPr>
        <w:spacing w:after="60" w:before="60" w:line="300"/>
        <w:ind w:firstLine="400"/>
        <w:jc w:val="both"/>
      </w:pPr>
      <w:r>
        <w:rPr>
          <w:rFonts w:ascii="Times New Roman" w:cs="Times New Roman" w:eastAsia="Times New Roman" w:hAnsi="Times New Roman"/>
          <w:sz w:val="26"/>
          <w:szCs w:val="26"/>
        </w:rPr>
        <w:t xml:space="preserve">2. Phần chi phí lãi vay không được trừ theo quy định tại khoản 1 Điều này được chuyển sang kỳ tính thuế tiếp theo khi xác định tổng chi phí lãi vay được trừ trong thời hạn không quá 05 năm liên tục.</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01 tháng 08 năm 2026 và áp dụng từ kỳ tính thuế TNDN năm 2026.</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2026-08-29T13:08:36.996Z</dcterms:created>
  <dcterms:modified xsi:type="dcterms:W3CDTF">2026-08-29T13:08:36.996Z</dcterms:modified>
</cp:coreProperties>
</file>

<file path=docProps/custom.xml><?xml version="1.0" encoding="utf-8"?>
<Properties xmlns="http://schemas.openxmlformats.org/officeDocument/2006/custom-properties" xmlns:vt="http://schemas.openxmlformats.org/officeDocument/2006/docPropsVTypes"/>
</file>