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BỘ TÀI CHÍNH</w:t>
            </w:r>
          </w:p>
          <w:p>
            <w:pPr>
              <w:spacing w:after="120" w:before="80"/>
              <w:jc w:val="center"/>
            </w:pPr>
            <w:r>
              <w:rPr>
                <w:rFonts w:ascii="Times New Roman" w:cs="Times New Roman" w:eastAsia="Times New Roman" w:hAnsi="Times New Roman"/>
                <w:sz w:val="24"/>
                <w:szCs w:val="24"/>
              </w:rPr>
              <w:t xml:space="preserve">Số: 101/2025/TT-BTC</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20/11/2025</w:t>
            </w:r>
          </w:p>
        </w:tc>
      </w:tr>
    </w:tbl>
    <w:p>
      <w:pPr>
        <w:spacing w:after="240" w:before="360"/>
        <w:jc w:val="center"/>
      </w:pPr>
      <w:r>
        <w:rPr>
          <w:rFonts w:ascii="Times New Roman" w:cs="Times New Roman" w:eastAsia="Times New Roman" w:hAnsi="Times New Roman"/>
          <w:b/>
          <w:bCs/>
          <w:sz w:val="28"/>
          <w:szCs w:val="28"/>
        </w:rPr>
        <w:t xml:space="preserve">THÔNG TƯ 101/2025/TT-BTC HƯỚNG DẪN CHẾ ĐỘ KẾ TOÁN ĐỐI VỚI DOANH NGHIỆP BẢO HIỂM, TÁI BẢO HIỂM VÀ MÔI GIỚI BẢO HIỂM</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101/2025/TT-BTC</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20 tháng 11 năm 2025</w:t>
      </w:r>
    </w:p>
    <w:p>
      <w:pPr>
        <w:spacing w:after="60" w:before="60" w:line="300"/>
        <w:ind w:firstLine="400"/>
        <w:jc w:val="both"/>
      </w:pPr>
      <w:r>
        <w:rPr>
          <w:rFonts w:ascii="Times New Roman" w:cs="Times New Roman" w:eastAsia="Times New Roman" w:hAnsi="Times New Roman"/>
          <w:sz w:val="26"/>
          <w:szCs w:val="26"/>
        </w:rPr>
        <w:t xml:space="preserve">THÔNG TƯ</w:t>
      </w:r>
    </w:p>
    <w:p>
      <w:pPr>
        <w:spacing w:after="60" w:before="60" w:line="300"/>
        <w:ind w:firstLine="400"/>
        <w:jc w:val="both"/>
      </w:pPr>
      <w:r>
        <w:rPr>
          <w:rFonts w:ascii="Times New Roman" w:cs="Times New Roman" w:eastAsia="Times New Roman" w:hAnsi="Times New Roman"/>
          <w:sz w:val="26"/>
          <w:szCs w:val="26"/>
        </w:rPr>
        <w:t xml:space="preserve">Hướng dẫn Chế độ kế toán đối với doanh nghiệp bảo hiểm, tái bảo hiểm và chi nhánh doanh nghiệp bảo hiểm phi nhân thọ nước ngoài</w:t>
      </w:r>
    </w:p>
    <w:p>
      <w:pPr>
        <w:spacing w:after="60" w:before="60" w:line="300"/>
        <w:ind w:firstLine="400"/>
        <w:jc w:val="both"/>
      </w:pPr>
      <w:r>
        <w:rPr>
          <w:rFonts w:ascii="Times New Roman" w:cs="Times New Roman" w:eastAsia="Times New Roman" w:hAnsi="Times New Roman"/>
          <w:sz w:val="26"/>
          <w:szCs w:val="26"/>
        </w:rPr>
        <w:t xml:space="preserve">Căn cứ Luật Kinh doanh bảo hiểm số 08/2022/QH15;</w:t>
      </w:r>
    </w:p>
    <w:p>
      <w:pPr>
        <w:spacing w:after="60" w:before="60" w:line="300"/>
        <w:ind w:firstLine="400"/>
        <w:jc w:val="both"/>
      </w:pPr>
      <w:r>
        <w:rPr>
          <w:rFonts w:ascii="Times New Roman" w:cs="Times New Roman" w:eastAsia="Times New Roman" w:hAnsi="Times New Roman"/>
          <w:sz w:val="26"/>
          <w:szCs w:val="26"/>
        </w:rPr>
        <w:t xml:space="preserve">Căn cứ Luật Kế toán số 88/2015/QH13;</w:t>
      </w:r>
    </w:p>
    <w:p>
      <w:pPr>
        <w:spacing w:after="60" w:before="60" w:line="300"/>
        <w:ind w:firstLine="400"/>
        <w:jc w:val="both"/>
      </w:pPr>
      <w:r>
        <w:rPr>
          <w:rFonts w:ascii="Times New Roman" w:cs="Times New Roman" w:eastAsia="Times New Roman" w:hAnsi="Times New Roman"/>
          <w:sz w:val="26"/>
          <w:szCs w:val="26"/>
        </w:rPr>
        <w:t xml:space="preserve">Bộ trưởng Bộ Tài chính ban hành Thông tư hướng dẫn Chế độ kế toán đặc thù cho ngành bảo hiểm.</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Thông tư này hướng dẫn về tài khoản kế toán, phương pháp hạch toán doanh thu phí bảo hiểm, trích lập dự phòng nghiệp vụ bảo hiểm (dự phòng phí chưa được hưởng, dự phòng bồi thường, dự phòng dao động lớn) và lập Báo cáo tài chính theo IFRS 17 (Hợp đồng bảo hiểm).</w:t>
      </w:r>
    </w:p>
    <w:p>
      <w:pPr>
        <w:spacing w:after="100" w:before="200"/>
      </w:pPr>
      <w:r>
        <w:rPr>
          <w:rFonts w:ascii="Times New Roman" w:cs="Times New Roman" w:eastAsia="Times New Roman" w:hAnsi="Times New Roman"/>
          <w:b/>
          <w:bCs/>
          <w:sz w:val="26"/>
          <w:szCs w:val="26"/>
        </w:rPr>
        <w:t xml:space="preserve">Điều 2. Hiệu lực thi hành</w:t>
      </w:r>
    </w:p>
    <w:p>
      <w:pPr>
        <w:spacing w:after="60" w:before="60" w:line="300"/>
        <w:ind w:firstLine="400"/>
        <w:jc w:val="both"/>
      </w:pPr>
      <w:r>
        <w:rPr>
          <w:rFonts w:ascii="Times New Roman" w:cs="Times New Roman" w:eastAsia="Times New Roman" w:hAnsi="Times New Roman"/>
          <w:sz w:val="26"/>
          <w:szCs w:val="26"/>
        </w:rPr>
        <w:t xml:space="preserve">Thông tư này có hiệu lực thi hành từ ngày 01 tháng 01 năm 2026.</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KT. BỘ TRƯỞNG - THỨ TRƯỞNG</w:t>
      </w:r>
    </w:p>
    <w:p>
      <w:pPr>
        <w:spacing w:after="60" w:before="60" w:line="300"/>
        <w:ind w:firstLine="400"/>
        <w:jc w:val="both"/>
      </w:pPr>
      <w:r>
        <w:rPr>
          <w:rFonts w:ascii="Times New Roman" w:cs="Times New Roman" w:eastAsia="Times New Roman" w:hAnsi="Times New Roman"/>
          <w:sz w:val="26"/>
          <w:szCs w:val="26"/>
        </w:rPr>
        <w:t xml:space="preserve">Nguyễn Đức Chi</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Đức Chi</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2026-08-29T13:08:37.057Z</dcterms:created>
  <dcterms:modified xsi:type="dcterms:W3CDTF">2026-08-29T13:08:37.057Z</dcterms:modified>
</cp:coreProperties>
</file>

<file path=docProps/custom.xml><?xml version="1.0" encoding="utf-8"?>
<Properties xmlns="http://schemas.openxmlformats.org/officeDocument/2006/custom-properties" xmlns:vt="http://schemas.openxmlformats.org/officeDocument/2006/docPropsVTypes"/>
</file>