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BỘ TÀI CHÍNH</w:t>
            </w:r>
          </w:p>
          <w:p>
            <w:pPr>
              <w:spacing w:after="120" w:before="80"/>
              <w:jc w:val="center"/>
            </w:pPr>
            <w:r>
              <w:rPr>
                <w:rFonts w:ascii="Times New Roman" w:cs="Times New Roman" w:eastAsia="Times New Roman" w:hAnsi="Times New Roman"/>
                <w:sz w:val="24"/>
                <w:szCs w:val="24"/>
              </w:rPr>
              <w:t xml:space="preserve">Số: 118/2026/TT-BTC</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18/08/2026</w:t>
            </w:r>
          </w:p>
        </w:tc>
      </w:tr>
    </w:tbl>
    <w:p>
      <w:pPr>
        <w:spacing w:after="240" w:before="360"/>
        <w:jc w:val="center"/>
      </w:pPr>
      <w:r>
        <w:rPr>
          <w:rFonts w:ascii="Times New Roman" w:cs="Times New Roman" w:eastAsia="Times New Roman" w:hAnsi="Times New Roman"/>
          <w:b/>
          <w:bCs/>
          <w:sz w:val="28"/>
          <w:szCs w:val="28"/>
        </w:rPr>
        <w:t xml:space="preserve">THÔNG TƯ 118/2026/TT-BTC HƯỚNG DẪN ĐỐI TƯỢNG, PHẠM VI VÀ LỘ TRÌNH ÁP DỤNG CHUẨN MỰC BÁO CÁO TÀI CHÍNH QUỐC TẾ (IFRS / VFRS) TẠI VIỆT NAM</w:t>
      </w:r>
    </w:p>
    <w:p>
      <w:pPr>
        <w:spacing w:after="60" w:before="60" w:line="300"/>
        <w:ind w:firstLine="400"/>
        <w:jc w:val="both"/>
      </w:pPr>
      <w:r>
        <w:rPr>
          <w:rFonts w:ascii="Times New Roman" w:cs="Times New Roman" w:eastAsia="Times New Roman" w:hAnsi="Times New Roman"/>
          <w:sz w:val="26"/>
          <w:szCs w:val="26"/>
        </w:rPr>
        <w:t xml:space="preserve">BỘ TÀI CHÍNH</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118/2026/TT-BTC</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18 tháng 8 năm 2026</w:t>
      </w:r>
    </w:p>
    <w:p>
      <w:pPr>
        <w:spacing w:after="60" w:before="60" w:line="300"/>
        <w:ind w:firstLine="400"/>
        <w:jc w:val="both"/>
      </w:pPr>
      <w:r>
        <w:rPr>
          <w:rFonts w:ascii="Times New Roman" w:cs="Times New Roman" w:eastAsia="Times New Roman" w:hAnsi="Times New Roman"/>
          <w:sz w:val="26"/>
          <w:szCs w:val="26"/>
        </w:rPr>
        <w:t xml:space="preserve">THÔNG TƯ</w:t>
      </w:r>
    </w:p>
    <w:p>
      <w:pPr>
        <w:spacing w:after="60" w:before="60" w:line="300"/>
        <w:ind w:firstLine="400"/>
        <w:jc w:val="both"/>
      </w:pPr>
      <w:r>
        <w:rPr>
          <w:rFonts w:ascii="Times New Roman" w:cs="Times New Roman" w:eastAsia="Times New Roman" w:hAnsi="Times New Roman"/>
          <w:sz w:val="26"/>
          <w:szCs w:val="26"/>
        </w:rPr>
        <w:t xml:space="preserve">Hướng dẫn đối tượng, phạm vi và lộ trình áp dụng Chuẩn mực Báo cáo Tài chính Quốc tế (IFRS / VFRS) tại Việt Nam</w:t>
      </w:r>
    </w:p>
    <w:p>
      <w:pPr>
        <w:spacing w:after="60" w:before="60" w:line="300"/>
        <w:ind w:firstLine="400"/>
        <w:jc w:val="both"/>
      </w:pPr>
      <w:r>
        <w:rPr>
          <w:rFonts w:ascii="Times New Roman" w:cs="Times New Roman" w:eastAsia="Times New Roman" w:hAnsi="Times New Roman"/>
          <w:sz w:val="26"/>
          <w:szCs w:val="26"/>
        </w:rPr>
        <w:t xml:space="preserve">Căn cứ Luật Kế toán số 88/2015/QH13 ngày 20 tháng 11 năm 2015;</w:t>
      </w:r>
    </w:p>
    <w:p>
      <w:pPr>
        <w:spacing w:after="60" w:before="60" w:line="300"/>
        <w:ind w:firstLine="400"/>
        <w:jc w:val="both"/>
      </w:pPr>
      <w:r>
        <w:rPr>
          <w:rFonts w:ascii="Times New Roman" w:cs="Times New Roman" w:eastAsia="Times New Roman" w:hAnsi="Times New Roman"/>
          <w:sz w:val="26"/>
          <w:szCs w:val="26"/>
        </w:rPr>
        <w:t xml:space="preserve">Căn cứ Luật sửa đổi, bổ sung một số điều của Luật Chứng khoán, Luật Kế toán, Luật Kiểm toán độc lập số 56/2024/QH15;</w:t>
      </w:r>
    </w:p>
    <w:p>
      <w:pPr>
        <w:spacing w:after="60" w:before="60" w:line="300"/>
        <w:ind w:firstLine="400"/>
        <w:jc w:val="both"/>
      </w:pPr>
      <w:r>
        <w:rPr>
          <w:rFonts w:ascii="Times New Roman" w:cs="Times New Roman" w:eastAsia="Times New Roman" w:hAnsi="Times New Roman"/>
          <w:sz w:val="26"/>
          <w:szCs w:val="26"/>
        </w:rPr>
        <w:t xml:space="preserve">Căn cứ Quyết định số 345/QĐ-BTC ngày 16 tháng 3 năm 2020 của Bộ trưởng Bộ Tài chính phê duyệt Đề án áp dụng chuẩn mực báo cáo tài chính tại Việt Nam;</w:t>
      </w:r>
    </w:p>
    <w:p>
      <w:pPr>
        <w:spacing w:after="60" w:before="60" w:line="300"/>
        <w:ind w:firstLine="400"/>
        <w:jc w:val="both"/>
      </w:pPr>
      <w:r>
        <w:rPr>
          <w:rFonts w:ascii="Times New Roman" w:cs="Times New Roman" w:eastAsia="Times New Roman" w:hAnsi="Times New Roman"/>
          <w:sz w:val="26"/>
          <w:szCs w:val="26"/>
        </w:rPr>
        <w:t xml:space="preserve">Căn cứ Nghị định số 29/2025/NĐ-CP ngày 24 tháng 02 năm 2025 của Chính phủ quy định chức năng, nhiệm vụ, quyền hạn và cơ cấu tổ chức của Bộ Tài chính;</w:t>
      </w:r>
    </w:p>
    <w:p>
      <w:pPr>
        <w:spacing w:after="60" w:before="60" w:line="300"/>
        <w:ind w:firstLine="400"/>
        <w:jc w:val="both"/>
      </w:pPr>
      <w:r>
        <w:rPr>
          <w:rFonts w:ascii="Times New Roman" w:cs="Times New Roman" w:eastAsia="Times New Roman" w:hAnsi="Times New Roman"/>
          <w:sz w:val="26"/>
          <w:szCs w:val="26"/>
        </w:rPr>
        <w:t xml:space="preserve">Theo đề nghị của Cục trưởng Cục Quản lý, giám sát kế toán, kiểm toán;</w:t>
      </w:r>
    </w:p>
    <w:p>
      <w:pPr>
        <w:spacing w:after="60" w:before="60" w:line="300"/>
        <w:ind w:firstLine="400"/>
        <w:jc w:val="both"/>
      </w:pPr>
      <w:r>
        <w:rPr>
          <w:rFonts w:ascii="Times New Roman" w:cs="Times New Roman" w:eastAsia="Times New Roman" w:hAnsi="Times New Roman"/>
          <w:sz w:val="26"/>
          <w:szCs w:val="26"/>
        </w:rPr>
        <w:t xml:space="preserve">Bộ trưởng Bộ Tài chính ban hành Thông tư hướng dẫn đối tượng, phạm vi và lộ trình áp dụng Chuẩn mực Báo cáo Tài chính Quốc tế (IFRS / VFRS) tại Việt Nam.</w:t>
      </w:r>
    </w:p>
    <w:p>
      <w:pPr>
        <w:spacing w:after="100" w:before="200"/>
      </w:pPr>
      <w:r>
        <w:rPr>
          <w:rFonts w:ascii="Times New Roman" w:cs="Times New Roman" w:eastAsia="Times New Roman" w:hAnsi="Times New Roman"/>
          <w:b/>
          <w:bCs/>
          <w:sz w:val="26"/>
          <w:szCs w:val="26"/>
        </w:rPr>
        <w:t xml:space="preserve">Chương I</w:t>
      </w:r>
    </w:p>
    <w:p>
      <w:pPr>
        <w:spacing w:after="60" w:before="60" w:line="300"/>
        <w:ind w:firstLine="400"/>
        <w:jc w:val="both"/>
      </w:pPr>
      <w:r>
        <w:rPr>
          <w:rFonts w:ascii="Times New Roman" w:cs="Times New Roman" w:eastAsia="Times New Roman" w:hAnsi="Times New Roman"/>
          <w:sz w:val="26"/>
          <w:szCs w:val="26"/>
        </w:rPr>
        <w:t xml:space="preserve">QUY ĐỊNH CHUNG</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1. Thông tư này hướng dẫn về đối tượng, nguyên tắc, lộ trình và phương pháp áp dụng Chuẩn mực Báo cáo Tài chính Quốc tế (IFRS) và Chuẩn mực Báo cáo Tài chính Việt Nam mới (VFRS) trong việc lập và trình bày Báo cáo tài chính (BCTC) hợp nhất và BCTC riêng lẻ của các doanh nghiệp hoạt động tại Việt Nam.</w:t>
      </w:r>
    </w:p>
    <w:p>
      <w:pPr>
        <w:spacing w:after="60" w:before="60" w:line="300"/>
        <w:ind w:firstLine="400"/>
        <w:jc w:val="both"/>
      </w:pPr>
      <w:r>
        <w:rPr>
          <w:rFonts w:ascii="Times New Roman" w:cs="Times New Roman" w:eastAsia="Times New Roman" w:hAnsi="Times New Roman"/>
          <w:sz w:val="26"/>
          <w:szCs w:val="26"/>
        </w:rPr>
        <w:t xml:space="preserve">2. Việc ghi nhận, xác định nghĩa vụ thuế thu nhập doanh nghiệp và các loại thuế khác thực hiện theo quy định của pháp luật thuế, độc lập với việc lập BCTC theo IFRS/VFRS.</w:t>
      </w:r>
    </w:p>
    <w:p>
      <w:pPr>
        <w:spacing w:after="100" w:before="200"/>
      </w:pPr>
      <w:r>
        <w:rPr>
          <w:rFonts w:ascii="Times New Roman" w:cs="Times New Roman" w:eastAsia="Times New Roman" w:hAnsi="Times New Roman"/>
          <w:b/>
          <w:bCs/>
          <w:sz w:val="26"/>
          <w:szCs w:val="26"/>
        </w:rPr>
        <w:t xml:space="preserve">Điều 2. Đối tượng áp dụng</w:t>
      </w:r>
    </w:p>
    <w:p>
      <w:pPr>
        <w:spacing w:after="60" w:before="60" w:line="300"/>
        <w:ind w:firstLine="400"/>
        <w:jc w:val="both"/>
      </w:pPr>
      <w:r>
        <w:rPr>
          <w:rFonts w:ascii="Times New Roman" w:cs="Times New Roman" w:eastAsia="Times New Roman" w:hAnsi="Times New Roman"/>
          <w:sz w:val="26"/>
          <w:szCs w:val="26"/>
        </w:rPr>
        <w:t xml:space="preserve">1. Doanh nghiệp bắt buộc áp dụng IFRS/VFRS theo lộ trình quy định tại Điều 4 Thông tư này.</w:t>
      </w:r>
    </w:p>
    <w:p>
      <w:pPr>
        <w:spacing w:after="60" w:before="60" w:line="300"/>
        <w:ind w:firstLine="400"/>
        <w:jc w:val="both"/>
      </w:pPr>
      <w:r>
        <w:rPr>
          <w:rFonts w:ascii="Times New Roman" w:cs="Times New Roman" w:eastAsia="Times New Roman" w:hAnsi="Times New Roman"/>
          <w:sz w:val="26"/>
          <w:szCs w:val="26"/>
        </w:rPr>
        <w:t xml:space="preserve">2. Doanh nghiệp tự nguyện áp dụng IFRS/VFRS.</w:t>
      </w:r>
    </w:p>
    <w:p>
      <w:pPr>
        <w:spacing w:after="60" w:before="60" w:line="300"/>
        <w:ind w:firstLine="400"/>
        <w:jc w:val="both"/>
      </w:pPr>
      <w:r>
        <w:rPr>
          <w:rFonts w:ascii="Times New Roman" w:cs="Times New Roman" w:eastAsia="Times New Roman" w:hAnsi="Times New Roman"/>
          <w:sz w:val="26"/>
          <w:szCs w:val="26"/>
        </w:rPr>
        <w:t xml:space="preserve">3. Doanh nghiệp kiểm toán, kiểm toán viên hành nghề thực hiện kiểm toán BCTC lập theo IFRS/VFRS.</w:t>
      </w:r>
    </w:p>
    <w:p>
      <w:pPr>
        <w:spacing w:after="60" w:before="60" w:line="300"/>
        <w:ind w:firstLine="400"/>
        <w:jc w:val="both"/>
      </w:pPr>
      <w:r>
        <w:rPr>
          <w:rFonts w:ascii="Times New Roman" w:cs="Times New Roman" w:eastAsia="Times New Roman" w:hAnsi="Times New Roman"/>
          <w:sz w:val="26"/>
          <w:szCs w:val="26"/>
        </w:rPr>
        <w:t xml:space="preserve">4. Các cơ quan quản lý nhà nước về tài chính, chứng khoán, bảo hiểm, ngân hàng và các tổ chức, cá nhân có liên quan.</w:t>
      </w:r>
    </w:p>
    <w:p>
      <w:pPr>
        <w:spacing w:after="100" w:before="200"/>
      </w:pPr>
      <w:r>
        <w:rPr>
          <w:rFonts w:ascii="Times New Roman" w:cs="Times New Roman" w:eastAsia="Times New Roman" w:hAnsi="Times New Roman"/>
          <w:b/>
          <w:bCs/>
          <w:sz w:val="26"/>
          <w:szCs w:val="26"/>
        </w:rPr>
        <w:t xml:space="preserve">Điều 3. Giải thích từ ngữ</w:t>
      </w:r>
    </w:p>
    <w:p>
      <w:pPr>
        <w:spacing w:after="60" w:before="60" w:line="300"/>
        <w:ind w:firstLine="400"/>
        <w:jc w:val="both"/>
      </w:pPr>
      <w:r>
        <w:rPr>
          <w:rFonts w:ascii="Times New Roman" w:cs="Times New Roman" w:eastAsia="Times New Roman" w:hAnsi="Times New Roman"/>
          <w:sz w:val="26"/>
          <w:szCs w:val="26"/>
        </w:rPr>
        <w:t xml:space="preserve">1.  IFRS (International Financial Reporting Standards):  Là Hệ thống Chuẩn mực Báo cáo Tài chính Quốc tế do Hội đồng Chuẩn mực Kế toán Quốc tế (IASB) ban hành.</w:t>
      </w:r>
    </w:p>
    <w:p>
      <w:pPr>
        <w:spacing w:after="60" w:before="60" w:line="300"/>
        <w:ind w:firstLine="400"/>
        <w:jc w:val="both"/>
      </w:pPr>
      <w:r>
        <w:rPr>
          <w:rFonts w:ascii="Times New Roman" w:cs="Times New Roman" w:eastAsia="Times New Roman" w:hAnsi="Times New Roman"/>
          <w:sz w:val="26"/>
          <w:szCs w:val="26"/>
        </w:rPr>
        <w:t xml:space="preserve">2.  VFRS (Vietnam Financial Reporting Standards):  Là Hệ thống Chuẩn mực Báo cáo Tài chính Việt Nam được xây dựng trên cơ sở tiếp thu có chọn lọc IFRS phù hợp với điều kiện thực tiễn Việt Nam.</w:t>
      </w:r>
    </w:p>
    <w:p>
      <w:pPr>
        <w:spacing w:after="60" w:before="60" w:line="300"/>
        <w:ind w:firstLine="400"/>
        <w:jc w:val="both"/>
      </w:pPr>
      <w:r>
        <w:rPr>
          <w:rFonts w:ascii="Times New Roman" w:cs="Times New Roman" w:eastAsia="Times New Roman" w:hAnsi="Times New Roman"/>
          <w:sz w:val="26"/>
          <w:szCs w:val="26"/>
        </w:rPr>
        <w:t xml:space="preserve">3.  BCTC chuyển đổi lần đầu:  Là BCTC năm đầu tiên doanh nghiệp áp dụng IFRS/VFRS có tuyên bố rõ ràng và không bảo lưu về việc tuân thủ IFRS/VFRS theo quy định tại IFRS 1.</w:t>
      </w:r>
    </w:p>
    <w:p>
      <w:pPr>
        <w:spacing w:after="60" w:before="60" w:line="300"/>
        <w:ind w:firstLine="400"/>
        <w:jc w:val="both"/>
      </w:pPr>
      <w:r>
        <w:rPr>
          <w:rFonts w:ascii="Times New Roman" w:cs="Times New Roman" w:eastAsia="Times New Roman" w:hAnsi="Times New Roman"/>
          <w:sz w:val="26"/>
          <w:szCs w:val="26"/>
        </w:rPr>
        <w:t xml:space="preserve">4.  Giá trị hợp lý (Fair Value):  Là mức giá có thể nhận được khi bán một tài sản hoặc mức giá phải trả để chuyển nhượng một khoản nợ phải trả trong một giao dịch có trật tự giữa các bên tham gia thị trường tại ngày đo lường theo quy định của IFRS 13.</w:t>
      </w:r>
    </w:p>
    <w:p>
      <w:pPr>
        <w:spacing w:after="100" w:before="200"/>
      </w:pPr>
      <w:r>
        <w:rPr>
          <w:rFonts w:ascii="Times New Roman" w:cs="Times New Roman" w:eastAsia="Times New Roman" w:hAnsi="Times New Roman"/>
          <w:b/>
          <w:bCs/>
          <w:sz w:val="26"/>
          <w:szCs w:val="26"/>
        </w:rPr>
        <w:t xml:space="preserve">Chương II</w:t>
      </w:r>
    </w:p>
    <w:p>
      <w:pPr>
        <w:spacing w:after="60" w:before="60" w:line="300"/>
        <w:ind w:firstLine="400"/>
        <w:jc w:val="both"/>
      </w:pPr>
      <w:r>
        <w:rPr>
          <w:rFonts w:ascii="Times New Roman" w:cs="Times New Roman" w:eastAsia="Times New Roman" w:hAnsi="Times New Roman"/>
          <w:sz w:val="26"/>
          <w:szCs w:val="26"/>
        </w:rPr>
        <w:t xml:space="preserve">LỘ TRÌNH VÀ NGUYÊN TẮC ÁP DỤNG IFRS / VFRS</w:t>
      </w:r>
    </w:p>
    <w:p>
      <w:pPr>
        <w:spacing w:after="100" w:before="200"/>
      </w:pPr>
      <w:r>
        <w:rPr>
          <w:rFonts w:ascii="Times New Roman" w:cs="Times New Roman" w:eastAsia="Times New Roman" w:hAnsi="Times New Roman"/>
          <w:b/>
          <w:bCs/>
          <w:sz w:val="26"/>
          <w:szCs w:val="26"/>
        </w:rPr>
        <w:t xml:space="preserve">Điều 4. Lộ trình áp dụng IFRS</w:t>
      </w:r>
    </w:p>
    <w:p>
      <w:pPr>
        <w:spacing w:after="60" w:before="60" w:line="300"/>
        <w:ind w:firstLine="400"/>
        <w:jc w:val="both"/>
      </w:pPr>
      <w:r>
        <w:rPr>
          <w:rFonts w:ascii="Times New Roman" w:cs="Times New Roman" w:eastAsia="Times New Roman" w:hAnsi="Times New Roman"/>
          <w:sz w:val="26"/>
          <w:szCs w:val="26"/>
        </w:rPr>
        <w:t xml:space="preserve">1. Giai đoạn chuẩn bị (đến hết 30/09/2026): Các doanh nghiệp xây dựng quy chế kế toán nội bộ, đào tạo nhân sự, nâng cấp hệ thống ERP và thu thập dữ liệu giá trị hợp lý.</w:t>
      </w:r>
    </w:p>
    <w:p>
      <w:pPr>
        <w:spacing w:after="60" w:before="60" w:line="300"/>
        <w:ind w:firstLine="400"/>
        <w:jc w:val="both"/>
      </w:pPr>
      <w:r>
        <w:rPr>
          <w:rFonts w:ascii="Times New Roman" w:cs="Times New Roman" w:eastAsia="Times New Roman" w:hAnsi="Times New Roman"/>
          <w:sz w:val="26"/>
          <w:szCs w:val="26"/>
        </w:rPr>
        <w:t xml:space="preserve">2. Giai đoạn 1 - Bắt buộc áp dụng đối với BCTC hợp nhất từ ngày 01/10/2026:</w:t>
      </w:r>
    </w:p>
    <w:p>
      <w:pPr>
        <w:spacing w:after="60" w:before="60" w:line="300"/>
        <w:ind w:firstLine="400"/>
        <w:jc w:val="both"/>
      </w:pPr>
      <w:r>
        <w:rPr>
          <w:rFonts w:ascii="Times New Roman" w:cs="Times New Roman" w:eastAsia="Times New Roman" w:hAnsi="Times New Roman"/>
          <w:sz w:val="26"/>
          <w:szCs w:val="26"/>
        </w:rPr>
        <w:t xml:space="preserve">a) Công ty mẹ của các Tập đoàn kinh tế nhà nước quy mô lớn hoặc có các khoản vay được tài trợ bởi các định chế tài chính quốc tế (WB, ADB, IFC);</w:t>
      </w:r>
    </w:p>
    <w:p>
      <w:pPr>
        <w:spacing w:after="60" w:before="60" w:line="300"/>
        <w:ind w:firstLine="400"/>
        <w:jc w:val="both"/>
      </w:pPr>
      <w:r>
        <w:rPr>
          <w:rFonts w:ascii="Times New Roman" w:cs="Times New Roman" w:eastAsia="Times New Roman" w:hAnsi="Times New Roman"/>
          <w:sz w:val="26"/>
          <w:szCs w:val="26"/>
        </w:rPr>
        <w:t xml:space="preserve">b) Công ty mẹ là công ty niêm yết có vốn hóa thị trường từ 5.000 tỷ đồng trở lên;</w:t>
      </w:r>
    </w:p>
    <w:p>
      <w:pPr>
        <w:spacing w:after="60" w:before="60" w:line="300"/>
        <w:ind w:firstLine="400"/>
        <w:jc w:val="both"/>
      </w:pPr>
      <w:r>
        <w:rPr>
          <w:rFonts w:ascii="Times New Roman" w:cs="Times New Roman" w:eastAsia="Times New Roman" w:hAnsi="Times New Roman"/>
          <w:sz w:val="26"/>
          <w:szCs w:val="26"/>
        </w:rPr>
        <w:t xml:space="preserve">c) Công ty mẹ có 100% vốn đầu tư trực tiếp nước ngoài (FDI) là công ty con của các Tập đoàn đa quốc gia niêm yết tại các thị trường chứng khoán quốc tế.</w:t>
      </w:r>
    </w:p>
    <w:p>
      <w:pPr>
        <w:spacing w:after="60" w:before="60" w:line="300"/>
        <w:ind w:firstLine="400"/>
        <w:jc w:val="both"/>
      </w:pPr>
      <w:r>
        <w:rPr>
          <w:rFonts w:ascii="Times New Roman" w:cs="Times New Roman" w:eastAsia="Times New Roman" w:hAnsi="Times New Roman"/>
          <w:sz w:val="26"/>
          <w:szCs w:val="26"/>
        </w:rPr>
        <w:t xml:space="preserve">3. Giai đoạn 2 - Mở rộng áp dụng từ năm tài chính 2028: Áp dụng bắt buộc đối với toàn bộ các công ty đại chúng quy mô lớn, công ty bảo hiểm, công ty chứng khoán và các tổ chức tín dụng.</w:t>
      </w:r>
    </w:p>
    <w:p>
      <w:pPr>
        <w:spacing w:after="100" w:before="200"/>
      </w:pPr>
      <w:r>
        <w:rPr>
          <w:rFonts w:ascii="Times New Roman" w:cs="Times New Roman" w:eastAsia="Times New Roman" w:hAnsi="Times New Roman"/>
          <w:b/>
          <w:bCs/>
          <w:sz w:val="26"/>
          <w:szCs w:val="26"/>
        </w:rPr>
        <w:t xml:space="preserve">Điều 5. Nguyên tắc lập BCTC chuyển đổi lần đầu theo IFRS 1</w:t>
      </w:r>
    </w:p>
    <w:p>
      <w:pPr>
        <w:spacing w:after="60" w:before="60" w:line="300"/>
        <w:ind w:firstLine="400"/>
        <w:jc w:val="both"/>
      </w:pPr>
      <w:r>
        <w:rPr>
          <w:rFonts w:ascii="Times New Roman" w:cs="Times New Roman" w:eastAsia="Times New Roman" w:hAnsi="Times New Roman"/>
          <w:sz w:val="26"/>
          <w:szCs w:val="26"/>
        </w:rPr>
        <w:t xml:space="preserve">1. Doanh nghiệp phải lập Bảng cân đối kế toán mở đầu theo IFRS tại ngày chuyển đổi sang IFRS (là ngày đầu tiên của kỳ kế toán sớm nhất được trình bày thông tin so sánh).</w:t>
      </w:r>
    </w:p>
    <w:p>
      <w:pPr>
        <w:spacing w:after="60" w:before="60" w:line="300"/>
        <w:ind w:firstLine="400"/>
        <w:jc w:val="both"/>
      </w:pPr>
      <w:r>
        <w:rPr>
          <w:rFonts w:ascii="Times New Roman" w:cs="Times New Roman" w:eastAsia="Times New Roman" w:hAnsi="Times New Roman"/>
          <w:sz w:val="26"/>
          <w:szCs w:val="26"/>
        </w:rPr>
        <w:t xml:space="preserve">2. Doanh nghiệp phải áp dụng nhất quán các chính sách kế toán theo IFRS có hiệu lực tại ngày kết thúc kỳ báo cáo IFRS đầu tiên.</w:t>
      </w:r>
    </w:p>
    <w:p>
      <w:pPr>
        <w:spacing w:after="60" w:before="60" w:line="300"/>
        <w:ind w:firstLine="400"/>
        <w:jc w:val="both"/>
      </w:pPr>
      <w:r>
        <w:rPr>
          <w:rFonts w:ascii="Times New Roman" w:cs="Times New Roman" w:eastAsia="Times New Roman" w:hAnsi="Times New Roman"/>
          <w:sz w:val="26"/>
          <w:szCs w:val="26"/>
        </w:rPr>
        <w:t xml:space="preserve">3. Các điều chỉnh phát sinh từ việc chuyển đổi từ VAS sang IFRS tại ngày chuyển đổi được ghi nhận trực tiếp vào Lợi nhuận sau thuế chưa phân phối hoặc các khoản mục thuộc vốn chủ sở hữu thích hợp khác.</w:t>
      </w:r>
    </w:p>
    <w:p>
      <w:pPr>
        <w:spacing w:after="100" w:before="200"/>
      </w:pPr>
      <w:r>
        <w:rPr>
          <w:rFonts w:ascii="Times New Roman" w:cs="Times New Roman" w:eastAsia="Times New Roman" w:hAnsi="Times New Roman"/>
          <w:b/>
          <w:bCs/>
          <w:sz w:val="26"/>
          <w:szCs w:val="26"/>
        </w:rPr>
        <w:t xml:space="preserve">Điều 6. Đo lường giá trị hợp lý (IFRS 13) và tổn thất tài sản (IAS 36)</w:t>
      </w:r>
    </w:p>
    <w:p>
      <w:pPr>
        <w:spacing w:after="60" w:before="60" w:line="300"/>
        <w:ind w:firstLine="400"/>
        <w:jc w:val="both"/>
      </w:pPr>
      <w:r>
        <w:rPr>
          <w:rFonts w:ascii="Times New Roman" w:cs="Times New Roman" w:eastAsia="Times New Roman" w:hAnsi="Times New Roman"/>
          <w:sz w:val="26"/>
          <w:szCs w:val="26"/>
        </w:rPr>
        <w:t xml:space="preserve">1. Việc xác định giá trị hợp lý của bất động sản đầu tư, công cụ tài chính và tài sản vô hình phải dựa trên các thông tin quan sát được trên thị trường hoặc sử dụng mô hình định giá được chấp nhận rộng rãi.</w:t>
      </w:r>
    </w:p>
    <w:p>
      <w:pPr>
        <w:spacing w:after="60" w:before="60" w:line="300"/>
        <w:ind w:firstLine="400"/>
        <w:jc w:val="both"/>
      </w:pPr>
      <w:r>
        <w:rPr>
          <w:rFonts w:ascii="Times New Roman" w:cs="Times New Roman" w:eastAsia="Times New Roman" w:hAnsi="Times New Roman"/>
          <w:sz w:val="26"/>
          <w:szCs w:val="26"/>
        </w:rPr>
        <w:t xml:space="preserve">2. Doanh nghiệp phải định kỳ đánh giá các dấu hiệu tổn thất tài sản và thực hiện trích lập dự phòng tổn thất tài sản (Impairment test) theo đúng nguyên tắc của IAS 36 ít nhất một lần vào ngày kết thúc năm tài chính.</w:t>
      </w:r>
    </w:p>
    <w:p>
      <w:pPr>
        <w:spacing w:after="100" w:before="200"/>
      </w:pPr>
      <w:r>
        <w:rPr>
          <w:rFonts w:ascii="Times New Roman" w:cs="Times New Roman" w:eastAsia="Times New Roman" w:hAnsi="Times New Roman"/>
          <w:b/>
          <w:bCs/>
          <w:sz w:val="26"/>
          <w:szCs w:val="26"/>
        </w:rPr>
        <w:t xml:space="preserve">Điều 7. Thuyết minh và công bố thông tin</w:t>
      </w:r>
    </w:p>
    <w:p>
      <w:pPr>
        <w:spacing w:after="60" w:before="60" w:line="300"/>
        <w:ind w:firstLine="400"/>
        <w:jc w:val="both"/>
      </w:pPr>
      <w:r>
        <w:rPr>
          <w:rFonts w:ascii="Times New Roman" w:cs="Times New Roman" w:eastAsia="Times New Roman" w:hAnsi="Times New Roman"/>
          <w:sz w:val="26"/>
          <w:szCs w:val="26"/>
        </w:rPr>
        <w:t xml:space="preserve">1. Báo cáo tài chính lập theo IFRS phải có bản thuyết minh chi tiết giải thích rõ ảnh hưởng của việc chuyển đổi từ VAS sang IFRS đối với tình hình tài chính, kết quả hoạt động kinh doanh và lưu chuyển tiền tệ.</w:t>
      </w:r>
    </w:p>
    <w:p>
      <w:pPr>
        <w:spacing w:after="60" w:before="60" w:line="300"/>
        <w:ind w:firstLine="400"/>
        <w:jc w:val="both"/>
      </w:pPr>
      <w:r>
        <w:rPr>
          <w:rFonts w:ascii="Times New Roman" w:cs="Times New Roman" w:eastAsia="Times New Roman" w:hAnsi="Times New Roman"/>
          <w:sz w:val="26"/>
          <w:szCs w:val="26"/>
        </w:rPr>
        <w:t xml:space="preserve">2. Phải lập bảng đối chiếu vốn chủ sở hữu và kết quả kinh doanh giữa VAS và IFRS tại ngày chuyển đổi và ngày kết thúc kỳ báo cáo so sánh gần nhất.</w:t>
      </w:r>
    </w:p>
    <w:p>
      <w:pPr>
        <w:spacing w:after="100" w:before="200"/>
      </w:pPr>
      <w:r>
        <w:rPr>
          <w:rFonts w:ascii="Times New Roman" w:cs="Times New Roman" w:eastAsia="Times New Roman" w:hAnsi="Times New Roman"/>
          <w:b/>
          <w:bCs/>
          <w:sz w:val="26"/>
          <w:szCs w:val="26"/>
        </w:rPr>
        <w:t xml:space="preserve">Chương III</w:t>
      </w:r>
    </w:p>
    <w:p>
      <w:pPr>
        <w:spacing w:after="60" w:before="60" w:line="300"/>
        <w:ind w:firstLine="400"/>
        <w:jc w:val="both"/>
      </w:pPr>
      <w:r>
        <w:rPr>
          <w:rFonts w:ascii="Times New Roman" w:cs="Times New Roman" w:eastAsia="Times New Roman" w:hAnsi="Times New Roman"/>
          <w:sz w:val="26"/>
          <w:szCs w:val="26"/>
        </w:rPr>
        <w:t xml:space="preserve">TỔ CHỨC THỰC HIỆN</w:t>
      </w:r>
    </w:p>
    <w:p>
      <w:pPr>
        <w:spacing w:after="100" w:before="200"/>
      </w:pPr>
      <w:r>
        <w:rPr>
          <w:rFonts w:ascii="Times New Roman" w:cs="Times New Roman" w:eastAsia="Times New Roman" w:hAnsi="Times New Roman"/>
          <w:b/>
          <w:bCs/>
          <w:sz w:val="26"/>
          <w:szCs w:val="26"/>
        </w:rPr>
        <w:t xml:space="preserve">Điều 8. Hiệu lực thi hành</w:t>
      </w:r>
    </w:p>
    <w:p>
      <w:pPr>
        <w:spacing w:after="60" w:before="60" w:line="300"/>
        <w:ind w:firstLine="400"/>
        <w:jc w:val="both"/>
      </w:pPr>
      <w:r>
        <w:rPr>
          <w:rFonts w:ascii="Times New Roman" w:cs="Times New Roman" w:eastAsia="Times New Roman" w:hAnsi="Times New Roman"/>
          <w:sz w:val="26"/>
          <w:szCs w:val="26"/>
        </w:rPr>
        <w:t xml:space="preserve">1. Thông tư này có hiệu lực thi hành kể từ ngày 01 tháng 10 năm 2026.</w:t>
      </w:r>
    </w:p>
    <w:p>
      <w:pPr>
        <w:spacing w:after="60" w:before="60" w:line="300"/>
        <w:ind w:firstLine="400"/>
        <w:jc w:val="both"/>
      </w:pPr>
      <w:r>
        <w:rPr>
          <w:rFonts w:ascii="Times New Roman" w:cs="Times New Roman" w:eastAsia="Times New Roman" w:hAnsi="Times New Roman"/>
          <w:sz w:val="26"/>
          <w:szCs w:val="26"/>
        </w:rPr>
        <w:t xml:space="preserve">2. Các quy định trước đây trái với quy định tại Thông tư này đều bãi bỏ.</w:t>
      </w:r>
    </w:p>
    <w:p>
      <w:pPr>
        <w:spacing w:after="100" w:before="200"/>
      </w:pPr>
      <w:r>
        <w:rPr>
          <w:rFonts w:ascii="Times New Roman" w:cs="Times New Roman" w:eastAsia="Times New Roman" w:hAnsi="Times New Roman"/>
          <w:b/>
          <w:bCs/>
          <w:sz w:val="26"/>
          <w:szCs w:val="26"/>
        </w:rPr>
        <w:t xml:space="preserve">Điều 9. Trách nhiệm thi hành</w:t>
      </w:r>
    </w:p>
    <w:p>
      <w:pPr>
        <w:spacing w:after="60" w:before="60" w:line="300"/>
        <w:ind w:firstLine="400"/>
        <w:jc w:val="both"/>
      </w:pPr>
      <w:r>
        <w:rPr>
          <w:rFonts w:ascii="Times New Roman" w:cs="Times New Roman" w:eastAsia="Times New Roman" w:hAnsi="Times New Roman"/>
          <w:sz w:val="26"/>
          <w:szCs w:val="26"/>
        </w:rPr>
        <w:t xml:space="preserve">Cục Quản lý, giám sát kế toán, kiểm toán chủ trì, phối hợp với các cơ quan, đơn vị có liên quan hướng dẫn, theo dõi, kiểm tra việc thực hiện Thông tư này.</w:t>
      </w:r>
    </w:p>
    <w:p>
      <w:pPr>
        <w:spacing w:after="60" w:before="60" w:line="300"/>
        <w:ind w:firstLine="400"/>
        <w:jc w:val="both"/>
      </w:pPr>
      <w:r>
        <w:rPr>
          <w:rFonts w:ascii="Times New Roman" w:cs="Times New Roman" w:eastAsia="Times New Roman" w:hAnsi="Times New Roman"/>
          <w:sz w:val="26"/>
          <w:szCs w:val="26"/>
        </w:rPr>
        <w:t xml:space="preserve">BỘ TÀI CHÍNH</w:t>
      </w:r>
    </w:p>
    <w:p>
      <w:pPr>
        <w:spacing w:after="60" w:before="60" w:line="300"/>
        <w:ind w:firstLine="400"/>
        <w:jc w:val="both"/>
      </w:pPr>
      <w:r>
        <w:rPr>
          <w:rFonts w:ascii="Times New Roman" w:cs="Times New Roman" w:eastAsia="Times New Roman" w:hAnsi="Times New Roman"/>
          <w:sz w:val="26"/>
          <w:szCs w:val="26"/>
        </w:rPr>
        <w:t xml:space="preserve">KT. BỘ TRƯỞNG - THỨ TRƯỞNG</w:t>
      </w:r>
    </w:p>
    <w:p>
      <w:pPr>
        <w:spacing w:after="60" w:before="60" w:line="300"/>
        <w:ind w:firstLine="400"/>
        <w:jc w:val="both"/>
      </w:pPr>
      <w:r>
        <w:rPr>
          <w:rFonts w:ascii="Times New Roman" w:cs="Times New Roman" w:eastAsia="Times New Roman" w:hAnsi="Times New Roman"/>
          <w:sz w:val="26"/>
          <w:szCs w:val="26"/>
        </w:rPr>
        <w:t xml:space="preserve">Nguyễn Đức Chi</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Nguyễn Đức Chi</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2026-08-29T13:08:36.956Z</dcterms:created>
  <dcterms:modified xsi:type="dcterms:W3CDTF">2026-08-29T13:08:36.956Z</dcterms:modified>
</cp:coreProperties>
</file>

<file path=docProps/custom.xml><?xml version="1.0" encoding="utf-8"?>
<Properties xmlns="http://schemas.openxmlformats.org/officeDocument/2006/custom-properties" xmlns:vt="http://schemas.openxmlformats.org/officeDocument/2006/docPropsVTypes"/>
</file>