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200/2014/TT-BTC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22/12/2014</w:t>
            </w:r>
          </w:p>
        </w:tc>
      </w:tr>
    </w:tbl>
    <w:p>
      <w:pPr>
        <w:spacing w:after="240" w:before="360"/>
        <w:jc w:val="center"/>
      </w:pPr>
      <w:r>
        <w:rPr>
          <w:rFonts w:ascii="Times New Roman" w:cs="Times New Roman" w:eastAsia="Times New Roman" w:hAnsi="Times New Roman"/>
          <w:b/>
          <w:bCs/>
          <w:sz w:val="28"/>
          <w:szCs w:val="28"/>
        </w:rPr>
        <w:t xml:space="preserve">THÔNG TƯ 200/2014/TT-BTC HƯỚNG DẪN CHẾ ĐỘ KẾ TOÁN DOANH NGHIỆP</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200/2014/TT-BTC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22 tháng 12 năm 2014</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Chế độ kế toán Doanh nghiệp</w:t>
      </w:r>
    </w:p>
    <w:p>
      <w:pPr>
        <w:spacing w:after="60" w:before="60" w:line="300"/>
        <w:ind w:firstLine="400"/>
        <w:jc w:val="both"/>
      </w:pPr>
      <w:r>
        <w:rPr>
          <w:rFonts w:ascii="Times New Roman" w:cs="Times New Roman" w:eastAsia="Times New Roman" w:hAnsi="Times New Roman"/>
          <w:sz w:val="26"/>
          <w:szCs w:val="26"/>
        </w:rPr>
        <w:t xml:space="preserve">Căn cứ Luật Kế toán ngày 17 tháng 06 năm 2003;</w:t>
      </w:r>
    </w:p>
    <w:p>
      <w:pPr>
        <w:spacing w:after="60" w:before="60" w:line="300"/>
        <w:ind w:firstLine="400"/>
        <w:jc w:val="both"/>
      </w:pPr>
      <w:r>
        <w:rPr>
          <w:rFonts w:ascii="Times New Roman" w:cs="Times New Roman" w:eastAsia="Times New Roman" w:hAnsi="Times New Roman"/>
          <w:sz w:val="26"/>
          <w:szCs w:val="26"/>
        </w:rPr>
        <w:t xml:space="preserve">Căn cứ Nghị định số 129/2004/NĐ-CP ngày 31 tháng 5 năm 2004 của Chính phủ quy định chi tiết và hướng dẫn thi hành một số điều của Luật Kế toán áp dụng trong hoạt động kinh doanh;</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Thông tư hướng dẫn Chế độ kế toán doanh nghiệp.</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 và đối tượng áp dụng</w:t>
      </w:r>
    </w:p>
    <w:p>
      <w:pPr>
        <w:spacing w:after="60" w:before="60" w:line="300"/>
        <w:ind w:firstLine="400"/>
        <w:jc w:val="both"/>
      </w:pPr>
      <w:r>
        <w:rPr>
          <w:rFonts w:ascii="Times New Roman" w:cs="Times New Roman" w:eastAsia="Times New Roman" w:hAnsi="Times New Roman"/>
          <w:sz w:val="26"/>
          <w:szCs w:val="26"/>
        </w:rPr>
        <w:t xml:space="preserve">Thông tư này hướng dẫn việc ghi sổ kế toán, lập và trình bày Báo cáo tài chính của các doanh nghiệp thuộc mọi lĩnh vực, mọi thành phần kinh tế trong cả nước.</w:t>
      </w:r>
    </w:p>
    <w:p>
      <w:pPr>
        <w:spacing w:after="100" w:before="200"/>
      </w:pPr>
      <w:r>
        <w:rPr>
          <w:rFonts w:ascii="Times New Roman" w:cs="Times New Roman" w:eastAsia="Times New Roman" w:hAnsi="Times New Roman"/>
          <w:b/>
          <w:bCs/>
          <w:sz w:val="26"/>
          <w:szCs w:val="26"/>
        </w:rPr>
        <w:t xml:space="preserve">Điều 2. Đơn vị tiền tệ trong kế toán</w:t>
      </w:r>
    </w:p>
    <w:p>
      <w:pPr>
        <w:spacing w:after="60" w:before="60" w:line="300"/>
        <w:ind w:firstLine="400"/>
        <w:jc w:val="both"/>
      </w:pPr>
      <w:r>
        <w:rPr>
          <w:rFonts w:ascii="Times New Roman" w:cs="Times New Roman" w:eastAsia="Times New Roman" w:hAnsi="Times New Roman"/>
          <w:sz w:val="26"/>
          <w:szCs w:val="26"/>
        </w:rPr>
        <w:t xml:space="preserve">Đơn vị tiền tệ kế toán là Đồng Việt Nam (ký hiệu quốc gia là "đ", ký hiệu quốc tế là "VND"). Doanh nghiệp chủ yếu thu, chi bằng ngoại tệ thì được chọn một loại ngoại tệ làm đơn vị tiền tệ để ghi sổ kế toán nếu đáp ứng các điều kiện quy định.</w:t>
      </w:r>
    </w:p>
    <w:p>
      <w:pPr>
        <w:spacing w:after="100" w:before="200"/>
      </w:pPr>
      <w:r>
        <w:rPr>
          <w:rFonts w:ascii="Times New Roman" w:cs="Times New Roman" w:eastAsia="Times New Roman" w:hAnsi="Times New Roman"/>
          <w:b/>
          <w:bCs/>
          <w:sz w:val="26"/>
          <w:szCs w:val="26"/>
        </w:rPr>
        <w:t xml:space="preserve">Điều 3. Hệ thống tài khoản kế toán doanh nghiệp</w:t>
      </w:r>
    </w:p>
    <w:p>
      <w:pPr>
        <w:spacing w:after="60" w:before="60" w:line="300"/>
        <w:ind w:firstLine="400"/>
        <w:jc w:val="both"/>
      </w:pPr>
      <w:r>
        <w:rPr>
          <w:rFonts w:ascii="Times New Roman" w:cs="Times New Roman" w:eastAsia="Times New Roman" w:hAnsi="Times New Roman"/>
          <w:sz w:val="26"/>
          <w:szCs w:val="26"/>
        </w:rPr>
        <w:t xml:space="preserve">Ban hành Hệ thống tài khoản kế toán gồm các Loại tài khoản từ Loại 1 đến Loại 9 (Loại 1, 2: Tài sản ngắn hạn và dài hạn; Loại 3: Nợ phải trả; Loại 4: Vốn chủ sở hữu; Loại 5: Doanh thu; Loại 6: Chi phí sản xuất, kinh doanh; Loại 7: Thu nhập khác; Loại 8: Chi phí khác; Loại 9: Xác định kết quả kinh doanh).</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4.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từ ngày 01 tháng 01 năm 2015, thay thế cho Quyết định số 15/2006/QĐ-BTC và Thông tư số 244/2009/TT-BTC. (Áp dụng đến hết ngày 31/12/2025 trước khi được thay thế bởi Thông tư 99/2025/TT-BTC).</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BỘ TRƯỞNG</w:t>
      </w:r>
    </w:p>
    <w:p>
      <w:pPr>
        <w:spacing w:after="60" w:before="60" w:line="300"/>
        <w:ind w:firstLine="400"/>
        <w:jc w:val="both"/>
      </w:pPr>
      <w:r>
        <w:rPr>
          <w:rFonts w:ascii="Times New Roman" w:cs="Times New Roman" w:eastAsia="Times New Roman" w:hAnsi="Times New Roman"/>
          <w:sz w:val="26"/>
          <w:szCs w:val="26"/>
        </w:rPr>
        <w:t xml:space="preserve">Đinh Tiến Dũng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Đinh Tiến Dũng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2026-08-29T13:08:37.312Z</dcterms:created>
  <dcterms:modified xsi:type="dcterms:W3CDTF">2026-08-29T13:08:37.312Z</dcterms:modified>
</cp:coreProperties>
</file>

<file path=docProps/custom.xml><?xml version="1.0" encoding="utf-8"?>
<Properties xmlns="http://schemas.openxmlformats.org/officeDocument/2006/custom-properties" xmlns:vt="http://schemas.openxmlformats.org/officeDocument/2006/docPropsVTypes"/>
</file>