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24/2024/TT-BTC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17/04/2024</w:t>
            </w:r>
          </w:p>
        </w:tc>
      </w:tr>
    </w:tbl>
    <w:p>
      <w:pPr>
        <w:spacing w:after="240" w:before="360"/>
        <w:jc w:val="center"/>
      </w:pPr>
      <w:r>
        <w:rPr>
          <w:rFonts w:ascii="Times New Roman" w:cs="Times New Roman" w:eastAsia="Times New Roman" w:hAnsi="Times New Roman"/>
          <w:b/>
          <w:bCs/>
          <w:sz w:val="28"/>
          <w:szCs w:val="28"/>
        </w:rPr>
        <w:t xml:space="preserve">THÔNG TƯ 24/2024/TT-BTC HƯỚNG DẪN CHẾ ĐỘ KẾ TOÁN HÀNH CHÍNH, SỰ NGHIỆP (ÁP DỤNG TỪ NĂM 2025)</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24/2024/TT-BTC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17 tháng 4 năm 2024</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Hướng dẫn Chế độ kế toán hành chính, sự nghiệp</w:t>
      </w:r>
    </w:p>
    <w:p>
      <w:pPr>
        <w:spacing w:after="60" w:before="60" w:line="300"/>
        <w:ind w:firstLine="400"/>
        <w:jc w:val="both"/>
      </w:pPr>
      <w:r>
        <w:rPr>
          <w:rFonts w:ascii="Times New Roman" w:cs="Times New Roman" w:eastAsia="Times New Roman" w:hAnsi="Times New Roman"/>
          <w:sz w:val="26"/>
          <w:szCs w:val="26"/>
        </w:rPr>
        <w:t xml:space="preserve">Căn cứ Luật Kế toán số 88/2015/QH13 ngày 20 tháng 11 năm 2015;</w:t>
      </w:r>
    </w:p>
    <w:p>
      <w:pPr>
        <w:spacing w:after="60" w:before="60" w:line="300"/>
        <w:ind w:firstLine="400"/>
        <w:jc w:val="both"/>
      </w:pPr>
      <w:r>
        <w:rPr>
          <w:rFonts w:ascii="Times New Roman" w:cs="Times New Roman" w:eastAsia="Times New Roman" w:hAnsi="Times New Roman"/>
          <w:sz w:val="26"/>
          <w:szCs w:val="26"/>
        </w:rPr>
        <w:t xml:space="preserve">Căn cứ Luật Ngân sách nhà nước số 83/2015/QH13;</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Thông tư hướng dẫn Chế độ kế toán hành chính, sự nghiệp mới áp dụng từ năm 2025.</w:t>
      </w:r>
    </w:p>
    <w:p>
      <w:pPr>
        <w:spacing w:after="100" w:before="200"/>
      </w:pPr>
      <w:r>
        <w:rPr>
          <w:rFonts w:ascii="Times New Roman" w:cs="Times New Roman" w:eastAsia="Times New Roman" w:hAnsi="Times New Roman"/>
          <w:b/>
          <w:bCs/>
          <w:sz w:val="26"/>
          <w:szCs w:val="26"/>
        </w:rPr>
        <w:t xml:space="preserve">Điều 1. Phạm vi điều chỉnh và đối tượng áp dụng</w:t>
      </w:r>
    </w:p>
    <w:p>
      <w:pPr>
        <w:spacing w:after="60" w:before="60" w:line="300"/>
        <w:ind w:firstLine="400"/>
        <w:jc w:val="both"/>
      </w:pPr>
      <w:r>
        <w:rPr>
          <w:rFonts w:ascii="Times New Roman" w:cs="Times New Roman" w:eastAsia="Times New Roman" w:hAnsi="Times New Roman"/>
          <w:sz w:val="26"/>
          <w:szCs w:val="26"/>
        </w:rPr>
        <w:t xml:space="preserve">1. Thông tư này hướng dẫn về chứng từ kế toán, tài khoản kế toán, sổ kế toán, báo cáo tài chính và báo cáo quyết toán kinh phí của các cơ quan nhà nước, đơn vị sự nghiệp công lập, tổ chức chính trị, tổ chức chính trị - xã hội.</w:t>
      </w:r>
    </w:p>
    <w:p>
      <w:pPr>
        <w:spacing w:after="60" w:before="60" w:line="300"/>
        <w:ind w:firstLine="400"/>
        <w:jc w:val="both"/>
      </w:pPr>
      <w:r>
        <w:rPr>
          <w:rFonts w:ascii="Times New Roman" w:cs="Times New Roman" w:eastAsia="Times New Roman" w:hAnsi="Times New Roman"/>
          <w:sz w:val="26"/>
          <w:szCs w:val="26"/>
        </w:rPr>
        <w:t xml:space="preserve">2. Đơn vị sự nghiệp công lập tự bảo đảm chi thường xuyên và chi đầu tư được vận dụng chế độ kế toán doanh nghiệp khi đáp ứng đủ điều kiện theo quy định của pháp luật.</w:t>
      </w:r>
    </w:p>
    <w:p>
      <w:pPr>
        <w:spacing w:after="100" w:before="200"/>
      </w:pPr>
      <w:r>
        <w:rPr>
          <w:rFonts w:ascii="Times New Roman" w:cs="Times New Roman" w:eastAsia="Times New Roman" w:hAnsi="Times New Roman"/>
          <w:b/>
          <w:bCs/>
          <w:sz w:val="26"/>
          <w:szCs w:val="26"/>
        </w:rPr>
        <w:t xml:space="preserve">Điều 2. Nguyên tắc kế toán dồn tích và kế toán tiền</w:t>
      </w:r>
    </w:p>
    <w:p>
      <w:pPr>
        <w:spacing w:after="60" w:before="60" w:line="300"/>
        <w:ind w:firstLine="400"/>
        <w:jc w:val="both"/>
      </w:pPr>
      <w:r>
        <w:rPr>
          <w:rFonts w:ascii="Times New Roman" w:cs="Times New Roman" w:eastAsia="Times New Roman" w:hAnsi="Times New Roman"/>
          <w:sz w:val="26"/>
          <w:szCs w:val="26"/>
        </w:rPr>
        <w:t xml:space="preserve">1. Báo cáo tài chính của đơn vị hành chính sự nghiệp được lập trên cơ sở kế toán dồn tích.</w:t>
      </w:r>
    </w:p>
    <w:p>
      <w:pPr>
        <w:spacing w:after="60" w:before="60" w:line="300"/>
        <w:ind w:firstLine="400"/>
        <w:jc w:val="both"/>
      </w:pPr>
      <w:r>
        <w:rPr>
          <w:rFonts w:ascii="Times New Roman" w:cs="Times New Roman" w:eastAsia="Times New Roman" w:hAnsi="Times New Roman"/>
          <w:sz w:val="26"/>
          <w:szCs w:val="26"/>
        </w:rPr>
        <w:t xml:space="preserve">2. Báo cáo quyết toán thu, chi ngân sách nhà nước được lập trên cơ sở kế toán tiền theo mục lục ngân sách nhà nước.</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kể từ ngày 01 tháng 01 năm 2025, thay thế Thông tư 107/2017/TT-BTC.</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Võ Thành Hưng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Võ Thành Hưng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2026-08-29T13:08:37.156Z</dcterms:created>
  <dcterms:modified xsi:type="dcterms:W3CDTF">2026-08-29T13:08:37.156Z</dcterms:modified>
</cp:coreProperties>
</file>

<file path=docProps/custom.xml><?xml version="1.0" encoding="utf-8"?>
<Properties xmlns="http://schemas.openxmlformats.org/officeDocument/2006/custom-properties" xmlns:vt="http://schemas.openxmlformats.org/officeDocument/2006/docPropsVTypes"/>
</file>