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3120/CTBDU-TTHT V/v: Chi phí thuê kho bãi và dịch vụ hậu cần tại khu công nghiệp</w:t>
      </w:r>
    </w:p>
    <w:p>
      <w:pPr>
        <w:spacing w:after="360"/>
        <w:jc w:val="center"/>
      </w:pPr>
      <w:r>
        <w:rPr>
          <w:rFonts w:ascii="Times New Roman" w:cs="Times New Roman" w:eastAsia="Times New Roman" w:hAnsi="Times New Roman"/>
          <w:i/>
          <w:iCs/>
          <w:sz w:val="22"/>
          <w:szCs w:val="22"/>
        </w:rPr>
        <w:t xml:space="preserve">Số hiệu: 3120/CTBDU-TTHT | Cơ quan ban hành: Cục Thuế tỉnh Bình Dương | Ngày ban hành: 2022-11-10</w:t>
      </w:r>
    </w:p>
    <w:p>
      <w:pPr>
        <w:spacing w:after="120" w:line="360"/>
      </w:pPr>
      <w:r>
        <w:rPr>
          <w:rFonts w:ascii="Times New Roman" w:cs="Times New Roman" w:eastAsia="Times New Roman" w:hAnsi="Times New Roman"/>
          <w:sz w:val="26"/>
          <w:szCs w:val="26"/>
        </w:rPr>
        <w:t xml:space="preserve">CỤC THUẾ TỈNH BÌNH DƯƠNG _______ Số: 3120/CTBDU-TTHT V/v: Chi phí thuê kho bãi và dịch vụ hậu cần tại khu công nghiệp CỘNG HÒA XÃ HỘI CHỦ NGHĨA VIỆT NAM Độc lập - Tự do - Hạnh phúc __________________________ Hà Nội, ngày 10 tháng 11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Hóa đơn thuê kho bãi và chứng từ thanh toán ngân hàng là căn cứ hợp pháp để hạch toán chi phí sản xuất kinh doanh và kê khai khấu trừ thuế GTGT đầu vào.</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Cục Thuế tỉnh Bình Dương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Nguyễn Văn Công.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2026-08-31T15:09:43.187Z</dcterms:created>
  <dcterms:modified xsi:type="dcterms:W3CDTF">2026-08-31T15:09:43.187Z</dcterms:modified>
</cp:coreProperties>
</file>

<file path=docProps/custom.xml><?xml version="1.0" encoding="utf-8"?>
<Properties xmlns="http://schemas.openxmlformats.org/officeDocument/2006/custom-properties" xmlns:vt="http://schemas.openxmlformats.org/officeDocument/2006/docPropsVTypes"/>
</file>