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3456/TCT-CS V/v: Xử lý tiền bảo hiểm bồi thường tài sản bị tổn thất do hỏa hoạn</w:t>
      </w:r>
    </w:p>
    <w:p>
      <w:pPr>
        <w:spacing w:after="360"/>
        <w:jc w:val="center"/>
      </w:pPr>
      <w:r>
        <w:rPr>
          <w:rFonts w:ascii="Times New Roman" w:cs="Times New Roman" w:eastAsia="Times New Roman" w:hAnsi="Times New Roman"/>
          <w:i/>
          <w:iCs/>
          <w:sz w:val="22"/>
          <w:szCs w:val="22"/>
        </w:rPr>
        <w:t xml:space="preserve">Số hiệu: 3456/TCT-CS | Cơ quan ban hành: Tổng cục Thuế | Ngày ban hành: 2023-08-18</w:t>
      </w:r>
    </w:p>
    <w:p>
      <w:pPr>
        <w:spacing w:after="120" w:line="360"/>
      </w:pPr>
      <w:r>
        <w:rPr>
          <w:rFonts w:ascii="Times New Roman" w:cs="Times New Roman" w:eastAsia="Times New Roman" w:hAnsi="Times New Roman"/>
          <w:sz w:val="26"/>
          <w:szCs w:val="26"/>
        </w:rPr>
        <w:t xml:space="preserve">TỔNG CỤC THUẾ _______ Số: 3456/TCT-CS V/v: Xử lý tiền bảo hiểm bồi thường tài sản bị tổn thất do hỏa hoạn CỘNG HÒA XÃ HỘI CHỦ NGHĨA VIỆT NAM Độc lập - Tự do - Hạnh phúc __________________________ Hà Nội, ngày 18 tháng 08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Giá trị tài sản tổn thất sau khi trừ khoản bồi thường của công ty bảo hiểm và tổ chức, cá nhân gây ra tổn thất được tính vào chi phí được trừ khi tính thuế TNDN; số tiền bảo hiểm nhận được hạch toán vào thu nhập khác.</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2026-08-31T15:08:43.410Z</dcterms:created>
  <dcterms:modified xsi:type="dcterms:W3CDTF">2026-08-31T15:08:43.410Z</dcterms:modified>
</cp:coreProperties>
</file>

<file path=docProps/custom.xml><?xml version="1.0" encoding="utf-8"?>
<Properties xmlns="http://schemas.openxmlformats.org/officeDocument/2006/custom-properties" xmlns:vt="http://schemas.openxmlformats.org/officeDocument/2006/docPropsVTypes"/>
</file>