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Công văn 3820/TCT-CS V/v: Xử lý khoản thu nhập từ thanh lý phế liệu, phế phẩm trong sản xuất</w:t>
      </w:r>
    </w:p>
    <w:p>
      <w:pPr>
        <w:spacing w:after="360"/>
        <w:jc w:val="center"/>
      </w:pPr>
      <w:r>
        <w:rPr>
          <w:rFonts w:ascii="Times New Roman" w:cs="Times New Roman" w:eastAsia="Times New Roman" w:hAnsi="Times New Roman"/>
          <w:i/>
          <w:iCs/>
          <w:sz w:val="22"/>
          <w:szCs w:val="22"/>
        </w:rPr>
        <w:t xml:space="preserve">Số hiệu: 3820/TCT-CS | Cơ quan ban hành: Tổng cục Thuế | Ngày ban hành: 2023-09-18</w:t>
      </w:r>
    </w:p>
    <w:p>
      <w:pPr>
        <w:spacing w:after="120" w:line="360"/>
      </w:pPr>
      <w:r>
        <w:rPr>
          <w:rFonts w:ascii="Times New Roman" w:cs="Times New Roman" w:eastAsia="Times New Roman" w:hAnsi="Times New Roman"/>
          <w:sz w:val="26"/>
          <w:szCs w:val="26"/>
        </w:rPr>
        <w:t xml:space="preserve">TỔNG CỤC THUẾ _______ Số: 3820/TCT-CS V/v: Xử lý khoản thu nhập từ thanh lý phế liệu, phế phẩm trong sản xuất CỘNG HÒA XÃ HỘI CHỦ NGHĨA VIỆT NAM Độc lập - Tự do - Hạnh phúc __________________________ Hà Nội, ngày 18 tháng 09 năm 2023 Kính gửi: Các Cục Thuế tỉnh, thành phố và các Hiệp hội Doanh nghiệp.</w:t>
      </w:r>
    </w:p>
    <w:p>
      <w:pPr>
        <w:spacing w:after="120" w:line="360"/>
      </w:pPr>
      <w:r>
        <w:rPr>
          <w:rFonts w:ascii="Times New Roman" w:cs="Times New Roman" w:eastAsia="Times New Roman" w:hAnsi="Times New Roman"/>
          <w:sz w:val="26"/>
          <w:szCs w:val="26"/>
        </w:rPr>
        <w:t xml:space="preserve">Khoản thu từ bán phế liệu, phế phẩm thu hồi trong quá trình sản xuất sau khi trừ chi phí thu hồi được giảm trừ vào giá thành sản xuất sản phẩm hoặc hạch toán vào thu nhập khác khi tính thuế TNDN.</w:t>
      </w:r>
    </w:p>
    <w:p>
      <w:pPr>
        <w:spacing w:after="120" w:line="360"/>
      </w:pPr>
      <w:r>
        <w:rPr>
          <w:rFonts w:ascii="Times New Roman" w:cs="Times New Roman" w:eastAsia="Times New Roman" w:hAnsi="Times New Roman"/>
          <w:sz w:val="26"/>
          <w:szCs w:val="26"/>
        </w:rPr>
        <w:t xml:space="preserve">Căn cứ các quy định của Luật Quản lý thuế số 38/2019/QH14, Luật Thuế Thu nhập doanh nghiệp, Luật Thuế Giá trị gia tăng và các văn bản hướng dẫn thi hành hiện hành, Tổng cục Thuế hướng dẫn các đơn vị biết và thống nhất thực hiện./.</w:t>
      </w:r>
    </w:p>
    <w:p>
      <w:pPr>
        <w:spacing w:after="120" w:line="360"/>
      </w:pPr>
      <w:r>
        <w:rPr>
          <w:rFonts w:ascii="Times New Roman" w:cs="Times New Roman" w:eastAsia="Times New Roman" w:hAnsi="Times New Roman"/>
          <w:sz w:val="26"/>
          <w:szCs w:val="26"/>
        </w:rPr>
        <w:t xml:space="preserve">KT.</w:t>
      </w:r>
    </w:p>
    <w:p>
      <w:pPr>
        <w:spacing w:after="120" w:line="360"/>
      </w:pPr>
      <w:r>
        <w:rPr>
          <w:rFonts w:ascii="Times New Roman" w:cs="Times New Roman" w:eastAsia="Times New Roman" w:hAnsi="Times New Roman"/>
          <w:sz w:val="26"/>
          <w:szCs w:val="26"/>
        </w:rPr>
        <w:t xml:space="preserve">TỔNG CỤC TRƯỞNG PHÓ TỔNG CỤC TRƯỞNG Mai Sơn.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2026-08-31T15:08:43.544Z</dcterms:created>
  <dcterms:modified xsi:type="dcterms:W3CDTF">2026-08-31T15:08:43.544Z</dcterms:modified>
</cp:coreProperties>
</file>

<file path=docProps/custom.xml><?xml version="1.0" encoding="utf-8"?>
<Properties xmlns="http://schemas.openxmlformats.org/officeDocument/2006/custom-properties" xmlns:vt="http://schemas.openxmlformats.org/officeDocument/2006/docPropsVTypes"/>
</file>