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4389/CTVPH-TTHT V/v: Chính sách thuế TNDN đối với dự án sản xuất linh kiện điện tử</w:t>
      </w:r>
    </w:p>
    <w:p>
      <w:pPr>
        <w:spacing w:after="360"/>
        <w:jc w:val="center"/>
      </w:pPr>
      <w:r>
        <w:rPr>
          <w:rFonts w:ascii="Times New Roman" w:cs="Times New Roman" w:eastAsia="Times New Roman" w:hAnsi="Times New Roman"/>
          <w:i/>
          <w:iCs/>
          <w:sz w:val="22"/>
          <w:szCs w:val="22"/>
        </w:rPr>
        <w:t xml:space="preserve">Số hiệu: 4389/CTVPH-TTHT | Cơ quan ban hành: Cục Thuế tỉnh Vĩnh Phúc | Ngày ban hành: 2023-10-15</w:t>
      </w:r>
    </w:p>
    <w:p>
      <w:pPr>
        <w:spacing w:after="120" w:line="360"/>
      </w:pPr>
      <w:r>
        <w:rPr>
          <w:rFonts w:ascii="Times New Roman" w:cs="Times New Roman" w:eastAsia="Times New Roman" w:hAnsi="Times New Roman"/>
          <w:sz w:val="26"/>
          <w:szCs w:val="26"/>
        </w:rPr>
        <w:t xml:space="preserve">CỤC THUẾ TỈNH VĨNH PHÚC _______ Số: 4389/CTVPH-TTHT V/v: Chính sách thuế TNDN đối với dự án sản xuất linh kiện điện tử CỘNG HÒA XÃ HỘI CHỦ NGHĨA VIỆT NAM Độc lập - Tự do - Hạnh phúc __________________________ Hà Nội, ngày 15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Dự án đầu tư sản xuất linh kiện phụ trợ ngành công nghiệp ô tô, xe máy được hưởng ưu đãi thuế TNDN theo quy định tại Nghị định số 111/2015/NĐ-CP.</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Vĩnh Phúc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Nguyễn Tiến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2026-08-31T15:09:43.243Z</dcterms:created>
  <dcterms:modified xsi:type="dcterms:W3CDTF">2026-08-31T15:09:43.243Z</dcterms:modified>
</cp:coreProperties>
</file>

<file path=docProps/custom.xml><?xml version="1.0" encoding="utf-8"?>
<Properties xmlns="http://schemas.openxmlformats.org/officeDocument/2006/custom-properties" xmlns:vt="http://schemas.openxmlformats.org/officeDocument/2006/docPropsVTypes"/>
</file>