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4560/CTDNA-TTHT V/v: Khấu trừ thuế GTGT đối với hàng hóa bị tổn thất do thiên tai, bão lũ</w:t>
      </w:r>
    </w:p>
    <w:p>
      <w:pPr>
        <w:spacing w:after="360"/>
        <w:jc w:val="center"/>
      </w:pPr>
      <w:r>
        <w:rPr>
          <w:rFonts w:ascii="Times New Roman" w:cs="Times New Roman" w:eastAsia="Times New Roman" w:hAnsi="Times New Roman"/>
          <w:i/>
          <w:iCs/>
          <w:sz w:val="22"/>
          <w:szCs w:val="22"/>
        </w:rPr>
        <w:t xml:space="preserve">Số hiệu: 4560/CTDNA-TTHT | Cơ quan ban hành: Cục Thuế tỉnh Đồng Nai | Ngày ban hành: 2023-04-18</w:t>
      </w:r>
    </w:p>
    <w:p>
      <w:pPr>
        <w:spacing w:after="120" w:line="360"/>
      </w:pPr>
      <w:r>
        <w:rPr>
          <w:rFonts w:ascii="Times New Roman" w:cs="Times New Roman" w:eastAsia="Times New Roman" w:hAnsi="Times New Roman"/>
          <w:sz w:val="26"/>
          <w:szCs w:val="26"/>
        </w:rPr>
        <w:t xml:space="preserve">CỤC THUẾ TỈNH ĐỒNG NAI _______ Số: 4560/CTDNA-TTHT V/v: Khấu trừ thuế GTGT đối với hàng hóa bị tổn thất do thiên tai, bão lũ CỘNG HÒA XÃ HỘI CHỦ NGHĨA VIỆT NAM Độc lập - Tự do - Hạnh phúc __________________________ Hà Nội, ngày 18 tháng 04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Hàng hóa bị tổn thất do thiên tai có biên bản kiểm kê, xác nhận của chính quyền địa phương và hồ sơ bồi thường bảo hiểm được giữ nguyên số thuế GTGT đầu vào đã khấu trừ.</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Cục Thuế tỉnh Đồng Nai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Trần Quảng Ninh.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2026-08-31T15:09:43.199Z</dcterms:created>
  <dcterms:modified xsi:type="dcterms:W3CDTF">2026-08-31T15:09:43.199Z</dcterms:modified>
</cp:coreProperties>
</file>

<file path=docProps/custom.xml><?xml version="1.0" encoding="utf-8"?>
<Properties xmlns="http://schemas.openxmlformats.org/officeDocument/2006/custom-properties" xmlns:vt="http://schemas.openxmlformats.org/officeDocument/2006/docPropsVTypes"/>
</file>