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5290/CTHN-TTHT V/v: Thuế GTGT và TNDN đối với khoản tiền bồi thường thiệt hại</w:t>
      </w:r>
    </w:p>
    <w:p>
      <w:pPr>
        <w:spacing w:after="360"/>
        <w:jc w:val="center"/>
      </w:pPr>
      <w:r>
        <w:rPr>
          <w:rFonts w:ascii="Times New Roman" w:cs="Times New Roman" w:eastAsia="Times New Roman" w:hAnsi="Times New Roman"/>
          <w:i/>
          <w:iCs/>
          <w:sz w:val="22"/>
          <w:szCs w:val="22"/>
        </w:rPr>
        <w:t xml:space="preserve">Số hiệu: 5290/CTHN-TTHT | Cơ quan ban hành: Cục Thuế TP Hà Nội | Ngày ban hành: 2023-02-15</w:t>
      </w:r>
    </w:p>
    <w:p>
      <w:pPr>
        <w:spacing w:after="120" w:line="360"/>
      </w:pPr>
      <w:r>
        <w:rPr>
          <w:rFonts w:ascii="Times New Roman" w:cs="Times New Roman" w:eastAsia="Times New Roman" w:hAnsi="Times New Roman"/>
          <w:sz w:val="26"/>
          <w:szCs w:val="26"/>
        </w:rPr>
        <w:t xml:space="preserve">CỤC THUẾ TP HÀ NỘI _______ Số: 5290/CTHN-TTHT V/v: Thuế GTGT và TNDN đối với khoản tiền bồi thường thiệt hại CỘNG HÒA XÃ HỘI CHỦ NGHĨA VIỆT NAM Độc lập - Tự do - Hạnh phúc __________________________ Hà Nội, ngày 15 tháng 02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tiền nhận bồi thường do đối tác vi phạm hợp đồng kinh tế không phải lập hóa đơn GTGT, không phải nộp thuế GTGT nhưng phải hạch toán vào thu nhập khác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Cục Thuế TP Hà Nội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2026-08-31T15:09:43.144Z</dcterms:created>
  <dcterms:modified xsi:type="dcterms:W3CDTF">2026-08-31T15:09:43.144Z</dcterms:modified>
</cp:coreProperties>
</file>

<file path=docProps/custom.xml><?xml version="1.0" encoding="utf-8"?>
<Properties xmlns="http://schemas.openxmlformats.org/officeDocument/2006/custom-properties" xmlns:vt="http://schemas.openxmlformats.org/officeDocument/2006/docPropsVTypes"/>
</file>