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932"/>
        <w:gridCol w:w="4932"/>
      </w:tblGrid>
      <w:tr>
        <w:tc>
          <w:tcPr>
            <w:tcW w:type="dxa" w:w="4932"/>
            <w:tcBorders>
              <w:top w:val="none" w:color="FFFFFF" w:sz="0"/>
              <w:left w:val="none" w:color="FFFFFF" w:sz="0"/>
              <w:bottom w:val="none" w:color="FFFFFF" w:sz="0"/>
              <w:right w:val="none" w:color="FFFFFF" w:sz="0"/>
            </w:tcBorders>
          </w:tcPr>
          <w:p>
            <w:r>
              <w:drawing>
                <wp:inline distT="0" distB="0" distL="0" distR="0">
                  <wp:extent cx="1905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381000"/>
                          </a:xfrm>
                          <a:prstGeom prst="rect">
                            <a:avLst/>
                          </a:prstGeom>
                        </pic:spPr>
                      </pic:pic>
                    </a:graphicData>
                  </a:graphic>
                </wp:inline>
              </w:drawing>
            </w:r>
          </w:p>
        </w:tc>
        <w:tc>
          <w:tcPr>
            <w:tcW w:type="dxa" w:w="4932"/>
            <w:tcBorders>
              <w:top w:val="none" w:color="FFFFFF" w:sz="0"/>
              <w:left w:val="none" w:color="FFFFFF" w:sz="0"/>
              <w:bottom w:val="none" w:color="FFFFFF" w:sz="0"/>
              <w:right w:val="none" w:color="FFFFFF" w:sz="0"/>
            </w:tcBorders>
          </w:tcPr>
          <w:p>
            <w:pPr>
              <w:jc w:val="right"/>
            </w:pPr>
            <w:r>
              <w:drawing>
                <wp:inline distT="0" distB="0" distL="0" distR="0">
                  <wp:extent cx="1905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381000"/>
                          </a:xfrm>
                          <a:prstGeom prst="rect">
                            <a:avLst/>
                          </a:prstGeom>
                        </pic:spPr>
                      </pic:pic>
                    </a:graphicData>
                  </a:graphic>
                </wp:inline>
              </w:drawing>
            </w:r>
          </w:p>
        </w:tc>
      </w:tr>
    </w:tbl>
    <w:p>
      <w:pPr>
        <w:spacing w:after="100" w:before="0"/>
      </w:pPr>
      <w:r>
        <w:rPr>
          <w:rFonts w:ascii="Arial" w:cs="Arial" w:eastAsia="Arial" w:hAnsi="Arial"/>
          <w:sz w:val="20"/>
          <w:szCs w:val="20"/>
        </w:rPr>
        <w:t xml:space="preserve"/>
      </w:r>
    </w:p>
    <w:p>
      <w:pPr>
        <w:spacing w:after="40" w:before="200"/>
      </w:pPr>
      <w:r>
        <w:rPr>
          <w:rFonts w:ascii="Arial" w:cs="Arial" w:eastAsia="Arial" w:hAnsi="Arial"/>
          <w:b/>
          <w:bCs/>
          <w:color w:val="25395B"/>
          <w:sz w:val="40"/>
          <w:szCs w:val="40"/>
        </w:rPr>
        <w:t xml:space="preserve">CE-018 PROJECT CONTROLS ASSURANCE REPORT</w:t>
      </w:r>
    </w:p>
    <w:p>
      <w:pPr>
        <w:spacing w:after="200"/>
      </w:pPr>
      <w:r>
        <w:rPr>
          <w:rFonts w:ascii="Arial" w:cs="Arial" w:eastAsia="Arial" w:hAnsi="Arial"/>
          <w:color w:val="754887"/>
          <w:sz w:val="24"/>
          <w:szCs w:val="24"/>
        </w:rPr>
        <w:t xml:space="preserve">NEC4 Decision-Readiness Assessment — Scenario S1 — Rev 3.0</w:t>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000"/>
        <w:gridCol w:w="6864"/>
      </w:tblGrid>
      <w:tr>
        <w:tc>
          <w:tcPr>
            <w:tcW w:type="dxa" w:w="3000"/>
            <w:tcBorders>
              <w:top w:val="single" w:color="B7C0CC" w:sz="2"/>
              <w:left w:val="single" w:color="B7C0CC" w:sz="2"/>
              <w:bottom w:val="single" w:color="B7C0CC" w:sz="2"/>
              <w:right w:val="single" w:color="B7C0CC" w:sz="2"/>
            </w:tcBorders>
            <w:shd w:fill="E5F6FB" w:val="clear"/>
            <w:tcMar>
              <w:top w:type="dxa" w:w="40"/>
              <w:left w:type="dxa" w:w="60"/>
              <w:bottom w:type="dxa" w:w="40"/>
              <w:right w:type="dxa" w:w="60"/>
            </w:tcMar>
            <w:vAlign w:val="top"/>
          </w:tcPr>
          <w:p>
            <w:pPr>
              <w:spacing w:after="0"/>
              <w:jc w:val="left"/>
            </w:pPr>
            <w:r>
              <w:rPr>
                <w:rFonts w:ascii="Arial" w:cs="Arial" w:eastAsia="Arial" w:hAnsi="Arial"/>
                <w:b/>
                <w:bCs/>
                <w:i w:val="false"/>
                <w:iCs w:val="false"/>
                <w:color w:val="000000"/>
                <w:sz w:val="17"/>
                <w:szCs w:val="17"/>
              </w:rPr>
              <w:t xml:space="preserve">Project</w:t>
            </w:r>
          </w:p>
        </w:tc>
        <w:tc>
          <w:tcPr>
            <w:tcW w:type="dxa" w:w="68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7"/>
                <w:szCs w:val="17"/>
              </w:rPr>
              <w:t xml:space="preserve">Westbridge Station Access and Enabling Works (WSAE)</w:t>
            </w:r>
          </w:p>
        </w:tc>
      </w:tr>
      <w:tr>
        <w:tc>
          <w:tcPr>
            <w:tcW w:type="dxa" w:w="3000"/>
            <w:tcBorders>
              <w:top w:val="single" w:color="B7C0CC" w:sz="2"/>
              <w:left w:val="single" w:color="B7C0CC" w:sz="2"/>
              <w:bottom w:val="single" w:color="B7C0CC" w:sz="2"/>
              <w:right w:val="single" w:color="B7C0CC" w:sz="2"/>
            </w:tcBorders>
            <w:shd w:fill="E5F6FB" w:val="clear"/>
            <w:tcMar>
              <w:top w:type="dxa" w:w="40"/>
              <w:left w:type="dxa" w:w="60"/>
              <w:bottom w:type="dxa" w:w="40"/>
              <w:right w:type="dxa" w:w="60"/>
            </w:tcMar>
            <w:vAlign w:val="top"/>
          </w:tcPr>
          <w:p>
            <w:pPr>
              <w:spacing w:after="0"/>
              <w:jc w:val="left"/>
            </w:pPr>
            <w:r>
              <w:rPr>
                <w:rFonts w:ascii="Arial" w:cs="Arial" w:eastAsia="Arial" w:hAnsi="Arial"/>
                <w:b/>
                <w:bCs/>
                <w:i w:val="false"/>
                <w:iCs w:val="false"/>
                <w:color w:val="000000"/>
                <w:sz w:val="17"/>
                <w:szCs w:val="17"/>
              </w:rPr>
              <w:t xml:space="preserve">Client</w:t>
            </w:r>
          </w:p>
        </w:tc>
        <w:tc>
          <w:tcPr>
            <w:tcW w:type="dxa" w:w="68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7"/>
                <w:szCs w:val="17"/>
              </w:rPr>
              <w:t xml:space="preserve">Westbridge Transit Authority</w:t>
            </w:r>
          </w:p>
        </w:tc>
      </w:tr>
      <w:tr>
        <w:tc>
          <w:tcPr>
            <w:tcW w:type="dxa" w:w="3000"/>
            <w:tcBorders>
              <w:top w:val="single" w:color="B7C0CC" w:sz="2"/>
              <w:left w:val="single" w:color="B7C0CC" w:sz="2"/>
              <w:bottom w:val="single" w:color="B7C0CC" w:sz="2"/>
              <w:right w:val="single" w:color="B7C0CC" w:sz="2"/>
            </w:tcBorders>
            <w:shd w:fill="E5F6FB" w:val="clear"/>
            <w:tcMar>
              <w:top w:type="dxa" w:w="40"/>
              <w:left w:type="dxa" w:w="60"/>
              <w:bottom w:type="dxa" w:w="40"/>
              <w:right w:type="dxa" w:w="60"/>
            </w:tcMar>
            <w:vAlign w:val="top"/>
          </w:tcPr>
          <w:p>
            <w:pPr>
              <w:spacing w:after="0"/>
              <w:jc w:val="left"/>
            </w:pPr>
            <w:r>
              <w:rPr>
                <w:rFonts w:ascii="Arial" w:cs="Arial" w:eastAsia="Arial" w:hAnsi="Arial"/>
                <w:b/>
                <w:bCs/>
                <w:i w:val="false"/>
                <w:iCs w:val="false"/>
                <w:color w:val="000000"/>
                <w:sz w:val="17"/>
                <w:szCs w:val="17"/>
              </w:rPr>
              <w:t xml:space="preserve">Contractor</w:t>
            </w:r>
          </w:p>
        </w:tc>
        <w:tc>
          <w:tcPr>
            <w:tcW w:type="dxa" w:w="68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7"/>
                <w:szCs w:val="17"/>
              </w:rPr>
              <w:t xml:space="preserve">Northstar Civil Engineering Ltd</w:t>
            </w:r>
          </w:p>
        </w:tc>
      </w:tr>
      <w:tr>
        <w:tc>
          <w:tcPr>
            <w:tcW w:type="dxa" w:w="3000"/>
            <w:tcBorders>
              <w:top w:val="single" w:color="B7C0CC" w:sz="2"/>
              <w:left w:val="single" w:color="B7C0CC" w:sz="2"/>
              <w:bottom w:val="single" w:color="B7C0CC" w:sz="2"/>
              <w:right w:val="single" w:color="B7C0CC" w:sz="2"/>
            </w:tcBorders>
            <w:shd w:fill="E5F6FB" w:val="clear"/>
            <w:tcMar>
              <w:top w:type="dxa" w:w="40"/>
              <w:left w:type="dxa" w:w="60"/>
              <w:bottom w:type="dxa" w:w="40"/>
              <w:right w:type="dxa" w:w="60"/>
            </w:tcMar>
            <w:vAlign w:val="top"/>
          </w:tcPr>
          <w:p>
            <w:pPr>
              <w:spacing w:after="0"/>
              <w:jc w:val="left"/>
            </w:pPr>
            <w:r>
              <w:rPr>
                <w:rFonts w:ascii="Arial" w:cs="Arial" w:eastAsia="Arial" w:hAnsi="Arial"/>
                <w:b/>
                <w:bCs/>
                <w:i w:val="false"/>
                <w:iCs w:val="false"/>
                <w:color w:val="000000"/>
                <w:sz w:val="17"/>
                <w:szCs w:val="17"/>
              </w:rPr>
              <w:t xml:space="preserve">Interface organisation</w:t>
            </w:r>
          </w:p>
        </w:tc>
        <w:tc>
          <w:tcPr>
            <w:tcW w:type="dxa" w:w="68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7"/>
                <w:szCs w:val="17"/>
              </w:rPr>
              <w:t xml:space="preserve">CityRail Operations</w:t>
            </w:r>
          </w:p>
        </w:tc>
      </w:tr>
      <w:tr>
        <w:tc>
          <w:tcPr>
            <w:tcW w:type="dxa" w:w="3000"/>
            <w:tcBorders>
              <w:top w:val="single" w:color="B7C0CC" w:sz="2"/>
              <w:left w:val="single" w:color="B7C0CC" w:sz="2"/>
              <w:bottom w:val="single" w:color="B7C0CC" w:sz="2"/>
              <w:right w:val="single" w:color="B7C0CC" w:sz="2"/>
            </w:tcBorders>
            <w:shd w:fill="E5F6FB" w:val="clear"/>
            <w:tcMar>
              <w:top w:type="dxa" w:w="40"/>
              <w:left w:type="dxa" w:w="60"/>
              <w:bottom w:type="dxa" w:w="40"/>
              <w:right w:type="dxa" w:w="60"/>
            </w:tcMar>
            <w:vAlign w:val="top"/>
          </w:tcPr>
          <w:p>
            <w:pPr>
              <w:spacing w:after="0"/>
              <w:jc w:val="left"/>
            </w:pPr>
            <w:r>
              <w:rPr>
                <w:rFonts w:ascii="Arial" w:cs="Arial" w:eastAsia="Arial" w:hAnsi="Arial"/>
                <w:b/>
                <w:bCs/>
                <w:i w:val="false"/>
                <w:iCs w:val="false"/>
                <w:color w:val="000000"/>
                <w:sz w:val="17"/>
                <w:szCs w:val="17"/>
              </w:rPr>
              <w:t xml:space="preserve">Event</w:t>
            </w:r>
          </w:p>
        </w:tc>
        <w:tc>
          <w:tcPr>
            <w:tcW w:type="dxa" w:w="68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7"/>
                <w:szCs w:val="17"/>
              </w:rPr>
              <w:t xml:space="preserve">CE-018 — Restricted access to the Platform 4 worksite</w:t>
            </w:r>
          </w:p>
        </w:tc>
      </w:tr>
      <w:tr>
        <w:tc>
          <w:tcPr>
            <w:tcW w:type="dxa" w:w="3000"/>
            <w:tcBorders>
              <w:top w:val="single" w:color="B7C0CC" w:sz="2"/>
              <w:left w:val="single" w:color="B7C0CC" w:sz="2"/>
              <w:bottom w:val="single" w:color="B7C0CC" w:sz="2"/>
              <w:right w:val="single" w:color="B7C0CC" w:sz="2"/>
            </w:tcBorders>
            <w:shd w:fill="E5F6FB" w:val="clear"/>
            <w:tcMar>
              <w:top w:type="dxa" w:w="40"/>
              <w:left w:type="dxa" w:w="60"/>
              <w:bottom w:type="dxa" w:w="40"/>
              <w:right w:type="dxa" w:w="60"/>
            </w:tcMar>
            <w:vAlign w:val="top"/>
          </w:tcPr>
          <w:p>
            <w:pPr>
              <w:spacing w:after="0"/>
              <w:jc w:val="left"/>
            </w:pPr>
            <w:r>
              <w:rPr>
                <w:rFonts w:ascii="Arial" w:cs="Arial" w:eastAsia="Arial" w:hAnsi="Arial"/>
                <w:b/>
                <w:bCs/>
                <w:i w:val="false"/>
                <w:iCs w:val="false"/>
                <w:color w:val="000000"/>
                <w:sz w:val="17"/>
                <w:szCs w:val="17"/>
              </w:rPr>
              <w:t xml:space="preserve">Related early warning</w:t>
            </w:r>
          </w:p>
        </w:tc>
        <w:tc>
          <w:tcPr>
            <w:tcW w:type="dxa" w:w="68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7"/>
                <w:szCs w:val="17"/>
              </w:rPr>
              <w:t xml:space="preserve">EW-006 — separate earlier warning concerning the same access issue</w:t>
            </w:r>
          </w:p>
        </w:tc>
      </w:tr>
      <w:tr>
        <w:tc>
          <w:tcPr>
            <w:tcW w:type="dxa" w:w="3000"/>
            <w:tcBorders>
              <w:top w:val="single" w:color="B7C0CC" w:sz="2"/>
              <w:left w:val="single" w:color="B7C0CC" w:sz="2"/>
              <w:bottom w:val="single" w:color="B7C0CC" w:sz="2"/>
              <w:right w:val="single" w:color="B7C0CC" w:sz="2"/>
            </w:tcBorders>
            <w:shd w:fill="E5F6FB" w:val="clear"/>
            <w:tcMar>
              <w:top w:type="dxa" w:w="40"/>
              <w:left w:type="dxa" w:w="60"/>
              <w:bottom w:type="dxa" w:w="40"/>
              <w:right w:type="dxa" w:w="60"/>
            </w:tcMar>
            <w:vAlign w:val="top"/>
          </w:tcPr>
          <w:p>
            <w:pPr>
              <w:spacing w:after="0"/>
              <w:jc w:val="left"/>
            </w:pPr>
            <w:r>
              <w:rPr>
                <w:rFonts w:ascii="Arial" w:cs="Arial" w:eastAsia="Arial" w:hAnsi="Arial"/>
                <w:b/>
                <w:bCs/>
                <w:i w:val="false"/>
                <w:iCs w:val="false"/>
                <w:color w:val="000000"/>
                <w:sz w:val="17"/>
                <w:szCs w:val="17"/>
              </w:rPr>
              <w:t xml:space="preserve">Contract scenario</w:t>
            </w:r>
          </w:p>
        </w:tc>
        <w:tc>
          <w:tcPr>
            <w:tcW w:type="dxa" w:w="68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7"/>
                <w:szCs w:val="17"/>
              </w:rPr>
              <w:t xml:space="preserve">S1 — NEC4 ECC demonstration</w:t>
            </w:r>
          </w:p>
        </w:tc>
      </w:tr>
      <w:tr>
        <w:tc>
          <w:tcPr>
            <w:tcW w:type="dxa" w:w="3000"/>
            <w:tcBorders>
              <w:top w:val="single" w:color="B7C0CC" w:sz="2"/>
              <w:left w:val="single" w:color="B7C0CC" w:sz="2"/>
              <w:bottom w:val="single" w:color="B7C0CC" w:sz="2"/>
              <w:right w:val="single" w:color="B7C0CC" w:sz="2"/>
            </w:tcBorders>
            <w:shd w:fill="E5F6FB" w:val="clear"/>
            <w:tcMar>
              <w:top w:type="dxa" w:w="40"/>
              <w:left w:type="dxa" w:w="60"/>
              <w:bottom w:type="dxa" w:w="40"/>
              <w:right w:type="dxa" w:w="60"/>
            </w:tcMar>
            <w:vAlign w:val="top"/>
          </w:tcPr>
          <w:p>
            <w:pPr>
              <w:spacing w:after="0"/>
              <w:jc w:val="left"/>
            </w:pPr>
            <w:r>
              <w:rPr>
                <w:rFonts w:ascii="Arial" w:cs="Arial" w:eastAsia="Arial" w:hAnsi="Arial"/>
                <w:b/>
                <w:bCs/>
                <w:i w:val="false"/>
                <w:iCs w:val="false"/>
                <w:color w:val="000000"/>
                <w:sz w:val="17"/>
                <w:szCs w:val="17"/>
              </w:rPr>
              <w:t xml:space="preserve">Report ID / revision</w:t>
            </w:r>
          </w:p>
        </w:tc>
        <w:tc>
          <w:tcPr>
            <w:tcW w:type="dxa" w:w="68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7"/>
                <w:szCs w:val="17"/>
              </w:rPr>
              <w:t xml:space="preserve">CE018-S1-NEC4-DR-R3.0 / Rev 3.0</w:t>
            </w:r>
          </w:p>
        </w:tc>
      </w:tr>
      <w:tr>
        <w:tc>
          <w:tcPr>
            <w:tcW w:type="dxa" w:w="3000"/>
            <w:tcBorders>
              <w:top w:val="single" w:color="B7C0CC" w:sz="2"/>
              <w:left w:val="single" w:color="B7C0CC" w:sz="2"/>
              <w:bottom w:val="single" w:color="B7C0CC" w:sz="2"/>
              <w:right w:val="single" w:color="B7C0CC" w:sz="2"/>
            </w:tcBorders>
            <w:shd w:fill="E5F6FB" w:val="clear"/>
            <w:tcMar>
              <w:top w:type="dxa" w:w="40"/>
              <w:left w:type="dxa" w:w="60"/>
              <w:bottom w:type="dxa" w:w="40"/>
              <w:right w:type="dxa" w:w="60"/>
            </w:tcMar>
            <w:vAlign w:val="top"/>
          </w:tcPr>
          <w:p>
            <w:pPr>
              <w:spacing w:after="0"/>
              <w:jc w:val="left"/>
            </w:pPr>
            <w:r>
              <w:rPr>
                <w:rFonts w:ascii="Arial" w:cs="Arial" w:eastAsia="Arial" w:hAnsi="Arial"/>
                <w:b/>
                <w:bCs/>
                <w:i w:val="false"/>
                <w:iCs w:val="false"/>
                <w:color w:val="000000"/>
                <w:sz w:val="17"/>
                <w:szCs w:val="17"/>
              </w:rPr>
              <w:t xml:space="preserve">Evidence cut-off</w:t>
            </w:r>
          </w:p>
        </w:tc>
        <w:tc>
          <w:tcPr>
            <w:tcW w:type="dxa" w:w="68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7"/>
                <w:szCs w:val="17"/>
              </w:rPr>
              <w:t xml:space="preserve">2026-03-31</w:t>
            </w:r>
          </w:p>
        </w:tc>
      </w:tr>
      <w:tr>
        <w:tc>
          <w:tcPr>
            <w:tcW w:type="dxa" w:w="3000"/>
            <w:tcBorders>
              <w:top w:val="single" w:color="B7C0CC" w:sz="2"/>
              <w:left w:val="single" w:color="B7C0CC" w:sz="2"/>
              <w:bottom w:val="single" w:color="B7C0CC" w:sz="2"/>
              <w:right w:val="single" w:color="B7C0CC" w:sz="2"/>
            </w:tcBorders>
            <w:shd w:fill="E5F6FB" w:val="clear"/>
            <w:tcMar>
              <w:top w:type="dxa" w:w="40"/>
              <w:left w:type="dxa" w:w="60"/>
              <w:bottom w:type="dxa" w:w="40"/>
              <w:right w:type="dxa" w:w="60"/>
            </w:tcMar>
            <w:vAlign w:val="top"/>
          </w:tcPr>
          <w:p>
            <w:pPr>
              <w:spacing w:after="0"/>
              <w:jc w:val="left"/>
            </w:pPr>
            <w:r>
              <w:rPr>
                <w:rFonts w:ascii="Arial" w:cs="Arial" w:eastAsia="Arial" w:hAnsi="Arial"/>
                <w:b/>
                <w:bCs/>
                <w:i w:val="false"/>
                <w:iCs w:val="false"/>
                <w:color w:val="000000"/>
                <w:sz w:val="17"/>
                <w:szCs w:val="17"/>
              </w:rPr>
              <w:t xml:space="preserve">Prepared for</w:t>
            </w:r>
          </w:p>
        </w:tc>
        <w:tc>
          <w:tcPr>
            <w:tcW w:type="dxa" w:w="68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7"/>
                <w:szCs w:val="17"/>
              </w:rPr>
              <w:t xml:space="preserve">Elena Brooks, NEC4 Project Manager</w:t>
            </w:r>
          </w:p>
        </w:tc>
      </w:tr>
      <w:tr>
        <w:tc>
          <w:tcPr>
            <w:tcW w:type="dxa" w:w="3000"/>
            <w:tcBorders>
              <w:top w:val="single" w:color="B7C0CC" w:sz="2"/>
              <w:left w:val="single" w:color="B7C0CC" w:sz="2"/>
              <w:bottom w:val="single" w:color="B7C0CC" w:sz="2"/>
              <w:right w:val="single" w:color="B7C0CC" w:sz="2"/>
            </w:tcBorders>
            <w:shd w:fill="E5F6FB" w:val="clear"/>
            <w:tcMar>
              <w:top w:type="dxa" w:w="40"/>
              <w:left w:type="dxa" w:w="60"/>
              <w:bottom w:type="dxa" w:w="40"/>
              <w:right w:type="dxa" w:w="60"/>
            </w:tcMar>
            <w:vAlign w:val="top"/>
          </w:tcPr>
          <w:p>
            <w:pPr>
              <w:spacing w:after="0"/>
              <w:jc w:val="left"/>
            </w:pPr>
            <w:r>
              <w:rPr>
                <w:rFonts w:ascii="Arial" w:cs="Arial" w:eastAsia="Arial" w:hAnsi="Arial"/>
                <w:b/>
                <w:bCs/>
                <w:i w:val="false"/>
                <w:iCs w:val="false"/>
                <w:color w:val="000000"/>
                <w:sz w:val="17"/>
                <w:szCs w:val="17"/>
              </w:rPr>
              <w:t xml:space="preserve">Prepared by</w:t>
            </w:r>
          </w:p>
        </w:tc>
        <w:tc>
          <w:tcPr>
            <w:tcW w:type="dxa" w:w="68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7"/>
                <w:szCs w:val="17"/>
              </w:rPr>
              <w:t xml:space="preserve">CE-018 Project Controls Assurance Assistant (non-contractual support)</w:t>
            </w:r>
          </w:p>
        </w:tc>
      </w:tr>
      <w:tr>
        <w:tc>
          <w:tcPr>
            <w:tcW w:type="dxa" w:w="3000"/>
            <w:tcBorders>
              <w:top w:val="single" w:color="B7C0CC" w:sz="2"/>
              <w:left w:val="single" w:color="B7C0CC" w:sz="2"/>
              <w:bottom w:val="single" w:color="B7C0CC" w:sz="2"/>
              <w:right w:val="single" w:color="B7C0CC" w:sz="2"/>
            </w:tcBorders>
            <w:shd w:fill="E5F6FB" w:val="clear"/>
            <w:tcMar>
              <w:top w:type="dxa" w:w="40"/>
              <w:left w:type="dxa" w:w="60"/>
              <w:bottom w:type="dxa" w:w="40"/>
              <w:right w:type="dxa" w:w="60"/>
            </w:tcMar>
            <w:vAlign w:val="top"/>
          </w:tcPr>
          <w:p>
            <w:pPr>
              <w:spacing w:after="0"/>
              <w:jc w:val="left"/>
            </w:pPr>
            <w:r>
              <w:rPr>
                <w:rFonts w:ascii="Arial" w:cs="Arial" w:eastAsia="Arial" w:hAnsi="Arial"/>
                <w:b/>
                <w:bCs/>
                <w:i w:val="false"/>
                <w:iCs w:val="false"/>
                <w:color w:val="000000"/>
                <w:sz w:val="17"/>
                <w:szCs w:val="17"/>
              </w:rPr>
              <w:t xml:space="preserve">Decision owner</w:t>
            </w:r>
          </w:p>
        </w:tc>
        <w:tc>
          <w:tcPr>
            <w:tcW w:type="dxa" w:w="68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7"/>
                <w:szCs w:val="17"/>
              </w:rPr>
              <w:t xml:space="preserve">Elena Brooks — NEC4 Project Manager</w:t>
            </w:r>
          </w:p>
        </w:tc>
      </w:tr>
      <w:tr>
        <w:tc>
          <w:tcPr>
            <w:tcW w:type="dxa" w:w="3000"/>
            <w:tcBorders>
              <w:top w:val="single" w:color="B7C0CC" w:sz="2"/>
              <w:left w:val="single" w:color="B7C0CC" w:sz="2"/>
              <w:bottom w:val="single" w:color="B7C0CC" w:sz="2"/>
              <w:right w:val="single" w:color="B7C0CC" w:sz="2"/>
            </w:tcBorders>
            <w:shd w:fill="E5F6FB" w:val="clear"/>
            <w:tcMar>
              <w:top w:type="dxa" w:w="40"/>
              <w:left w:type="dxa" w:w="60"/>
              <w:bottom w:type="dxa" w:w="40"/>
              <w:right w:type="dxa" w:w="60"/>
            </w:tcMar>
            <w:vAlign w:val="top"/>
          </w:tcPr>
          <w:p>
            <w:pPr>
              <w:spacing w:after="0"/>
              <w:jc w:val="left"/>
            </w:pPr>
            <w:r>
              <w:rPr>
                <w:rFonts w:ascii="Arial" w:cs="Arial" w:eastAsia="Arial" w:hAnsi="Arial"/>
                <w:b/>
                <w:bCs/>
                <w:i w:val="false"/>
                <w:iCs w:val="false"/>
                <w:color w:val="000000"/>
                <w:sz w:val="17"/>
                <w:szCs w:val="17"/>
              </w:rPr>
              <w:t xml:space="preserve">Control owner</w:t>
            </w:r>
          </w:p>
        </w:tc>
        <w:tc>
          <w:tcPr>
            <w:tcW w:type="dxa" w:w="68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7"/>
                <w:szCs w:val="17"/>
              </w:rPr>
              <w:t xml:space="preserve">Sofia Khan — Project Controls Lead</w:t>
            </w:r>
          </w:p>
        </w:tc>
      </w:tr>
      <w:tr>
        <w:tc>
          <w:tcPr>
            <w:tcW w:type="dxa" w:w="3000"/>
            <w:tcBorders>
              <w:top w:val="single" w:color="B7C0CC" w:sz="2"/>
              <w:left w:val="single" w:color="B7C0CC" w:sz="2"/>
              <w:bottom w:val="single" w:color="B7C0CC" w:sz="2"/>
              <w:right w:val="single" w:color="B7C0CC" w:sz="2"/>
            </w:tcBorders>
            <w:shd w:fill="E5F6FB" w:val="clear"/>
            <w:tcMar>
              <w:top w:type="dxa" w:w="40"/>
              <w:left w:type="dxa" w:w="60"/>
              <w:bottom w:type="dxa" w:w="40"/>
              <w:right w:type="dxa" w:w="60"/>
            </w:tcMar>
            <w:vAlign w:val="top"/>
          </w:tcPr>
          <w:p>
            <w:pPr>
              <w:spacing w:after="0"/>
              <w:jc w:val="left"/>
            </w:pPr>
            <w:r>
              <w:rPr>
                <w:rFonts w:ascii="Arial" w:cs="Arial" w:eastAsia="Arial" w:hAnsi="Arial"/>
                <w:b/>
                <w:bCs/>
                <w:i w:val="false"/>
                <w:iCs w:val="false"/>
                <w:color w:val="000000"/>
                <w:sz w:val="17"/>
                <w:szCs w:val="17"/>
              </w:rPr>
              <w:t xml:space="preserve">Report status</w:t>
            </w:r>
          </w:p>
        </w:tc>
        <w:tc>
          <w:tcPr>
            <w:tcW w:type="dxa" w:w="68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7"/>
                <w:szCs w:val="17"/>
              </w:rPr>
              <w:t xml:space="preserve">ISSUED FOR PROJECT MANAGER REVIEW (IFR) — NOT APPROVED</w:t>
            </w:r>
          </w:p>
        </w:tc>
      </w:tr>
      <w:tr>
        <w:tc>
          <w:tcPr>
            <w:tcW w:type="dxa" w:w="3000"/>
            <w:tcBorders>
              <w:top w:val="single" w:color="B7C0CC" w:sz="2"/>
              <w:left w:val="single" w:color="B7C0CC" w:sz="2"/>
              <w:bottom w:val="single" w:color="B7C0CC" w:sz="2"/>
              <w:right w:val="single" w:color="B7C0CC" w:sz="2"/>
            </w:tcBorders>
            <w:shd w:fill="E5F6FB" w:val="clear"/>
            <w:tcMar>
              <w:top w:type="dxa" w:w="40"/>
              <w:left w:type="dxa" w:w="60"/>
              <w:bottom w:type="dxa" w:w="40"/>
              <w:right w:type="dxa" w:w="60"/>
            </w:tcMar>
            <w:vAlign w:val="top"/>
          </w:tcPr>
          <w:p>
            <w:pPr>
              <w:spacing w:after="0"/>
              <w:jc w:val="left"/>
            </w:pPr>
            <w:r>
              <w:rPr>
                <w:rFonts w:ascii="Arial" w:cs="Arial" w:eastAsia="Arial" w:hAnsi="Arial"/>
                <w:b/>
                <w:bCs/>
                <w:i w:val="false"/>
                <w:iCs w:val="false"/>
                <w:color w:val="000000"/>
                <w:sz w:val="17"/>
                <w:szCs w:val="17"/>
              </w:rPr>
              <w:t xml:space="preserve">Classification</w:t>
            </w:r>
          </w:p>
        </w:tc>
        <w:tc>
          <w:tcPr>
            <w:tcW w:type="dxa" w:w="68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7"/>
                <w:szCs w:val="17"/>
              </w:rPr>
              <w:t xml:space="preserve">Fictional Demonstration Data</w:t>
            </w:r>
          </w:p>
        </w:tc>
      </w:tr>
    </w:tbl>
    <w:p>
      <w:pPr>
        <w:spacing w:after="120" w:before="0"/>
      </w:pPr>
      <w:r>
        <w:rPr>
          <w:rFonts w:ascii="Arial" w:cs="Arial" w:eastAsia="Arial" w:hAnsi="Arial"/>
          <w:sz w:val="20"/>
          <w:szCs w:val="20"/>
        </w:rPr>
        <w:t xml:space="preserve"/>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64"/>
      </w:tblGrid>
      <w:tr>
        <w:tc>
          <w:tcPr>
            <w:tcW w:type="dxa" w:w="9864"/>
            <w:tcBorders>
              <w:top w:val="single" w:color="F36B5D" w:sz="8"/>
              <w:left w:val="single" w:color="F36B5D" w:sz="8"/>
              <w:bottom w:val="single" w:color="F36B5D" w:sz="8"/>
              <w:right w:val="single" w:color="F36B5D" w:sz="8"/>
            </w:tcBorders>
            <w:shd w:fill="FDE9E6" w:val="clear"/>
            <w:tcMar>
              <w:top w:type="dxa" w:w="100"/>
              <w:left w:type="dxa" w:w="150"/>
              <w:bottom w:type="dxa" w:w="100"/>
              <w:right w:type="dxa" w:w="150"/>
            </w:tcMar>
          </w:tcPr>
          <w:p>
            <w:r>
              <w:rPr>
                <w:rFonts w:ascii="Arial" w:cs="Arial" w:eastAsia="Arial" w:hAnsi="Arial"/>
                <w:b/>
                <w:bCs/>
                <w:color w:val="25395B"/>
                <w:sz w:val="22"/>
                <w:szCs w:val="22"/>
              </w:rPr>
              <w:t xml:space="preserve">FICTIONAL DEMONSTRATION DATA</w:t>
            </w:r>
          </w:p>
          <w:p>
            <w:pPr>
              <w:spacing w:before="40"/>
            </w:pPr>
            <w:r>
              <w:rPr>
                <w:rFonts w:ascii="Arial" w:cs="Arial" w:eastAsia="Arial" w:hAnsi="Arial"/>
                <w:color w:val="754887"/>
                <w:sz w:val="18"/>
                <w:szCs w:val="18"/>
              </w:rPr>
              <w:t xml:space="preserve">Not a contractual assessment or communication. Elena Brooks, NEC4 Project Manager, retains the contractual decision on CE-018.</w:t>
            </w:r>
          </w:p>
        </w:tc>
      </w:tr>
    </w:tbl>
    <w:p>
      <w:r>
        <w:br w:type="page"/>
      </w:r>
    </w:p>
    <w:p>
      <w:pPr>
        <w:shd w:fill="25395B" w:val="clear"/>
        <w:spacing w:after="80" w:before="160"/>
      </w:pPr>
      <w:r>
        <w:rPr>
          <w:rFonts w:ascii="Arial" w:cs="Arial" w:eastAsia="Arial" w:hAnsi="Arial"/>
          <w:b/>
          <w:bCs/>
          <w:color w:val="FFFFFF"/>
          <w:sz w:val="22"/>
          <w:szCs w:val="22"/>
        </w:rPr>
        <w:t xml:space="preserve">EXECUTIVE DECISION BRIEF</w:t>
      </w:r>
    </w:p>
    <w:p>
      <w:pPr>
        <w:spacing w:after="120" w:before="0"/>
      </w:pPr>
      <w:r>
        <w:rPr>
          <w:rFonts w:ascii="Arial" w:cs="Arial" w:eastAsia="Arial" w:hAnsi="Arial"/>
          <w:sz w:val="18"/>
          <w:szCs w:val="18"/>
        </w:rPr>
        <w:t xml:space="preserve">Recommended route: READY WITH CONDITIONS. All four assurance tests score 2 (Pass) except T3 Configured NEC4 route and clock, which scores 1 (bounded limitation) — no critical failure is present. Schedule effect evidenced: 10 working days; commercial exposure evidenced: GBP 185,000, consistent across Quotation Rev B, Cost Forecast P07, Risk Register RISK-044 and Change Register CHG-018. Pending decision: Elena Brooks' response to Quotation Rev B, due 11 April 2026 — not overdue at the 31 March 2026 evidence cut-off. One bounded exception (EXC-01) concerns the form of programme evidence linked to the quotation and should be confirmed before that response is issued.</w:t>
      </w:r>
    </w:p>
    <w:p>
      <w:pPr>
        <w:shd w:fill="754887" w:val="clear"/>
        <w:spacing w:after="80" w:before="160"/>
      </w:pPr>
      <w:r>
        <w:rPr>
          <w:rFonts w:ascii="Arial" w:cs="Arial" w:eastAsia="Arial" w:hAnsi="Arial"/>
          <w:b/>
          <w:bCs/>
          <w:color w:val="FFFFFF"/>
          <w:sz w:val="22"/>
          <w:szCs w:val="22"/>
        </w:rPr>
        <w:t xml:space="preserve">PROJECT AND EVENT NARRATIVE</w:t>
      </w:r>
    </w:p>
    <w:p>
      <w:pPr>
        <w:spacing w:after="40" w:before="0"/>
      </w:pPr>
      <w:r>
        <w:rPr>
          <w:rFonts w:ascii="Arial" w:cs="Arial" w:eastAsia="Arial" w:hAnsi="Arial"/>
          <w:b/>
          <w:bCs/>
          <w:color w:val="754887"/>
          <w:sz w:val="15"/>
          <w:szCs w:val="15"/>
        </w:rPr>
        <w:t xml:space="preserve">Contractor and interface organisation:</w:t>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932"/>
        <w:gridCol w:w="4932"/>
      </w:tblGrid>
      <w:tr>
        <w:tc>
          <w:tcPr>
            <w:tcW w:type="dxa" w:w="4932"/>
            <w:tcBorders>
              <w:top w:val="none" w:color="FFFFFF" w:sz="0"/>
              <w:left w:val="none" w:color="FFFFFF" w:sz="0"/>
              <w:bottom w:val="none" w:color="FFFFFF" w:sz="0"/>
              <w:right w:val="none" w:color="FFFFFF" w:sz="0"/>
            </w:tcBorders>
          </w:tcPr>
          <w:p>
            <w:r>
              <w:drawing>
                <wp:inline distT="0" distB="0" distL="0" distR="0">
                  <wp:extent cx="17145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0" cy="342900"/>
                          </a:xfrm>
                          <a:prstGeom prst="rect">
                            <a:avLst/>
                          </a:prstGeom>
                        </pic:spPr>
                      </pic:pic>
                    </a:graphicData>
                  </a:graphic>
                </wp:inline>
              </w:drawing>
            </w:r>
          </w:p>
        </w:tc>
        <w:tc>
          <w:tcPr>
            <w:tcW w:type="dxa" w:w="4932"/>
            <w:tcBorders>
              <w:top w:val="none" w:color="FFFFFF" w:sz="0"/>
              <w:left w:val="none" w:color="FFFFFF" w:sz="0"/>
              <w:bottom w:val="none" w:color="FFFFFF" w:sz="0"/>
              <w:right w:val="none" w:color="FFFFFF" w:sz="0"/>
            </w:tcBorders>
          </w:tcPr>
          <w:p>
            <w:pPr>
              <w:jc w:val="right"/>
            </w:pPr>
            <w:r>
              <w:drawing>
                <wp:inline distT="0" distB="0" distL="0" distR="0">
                  <wp:extent cx="17145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14500" cy="342900"/>
                          </a:xfrm>
                          <a:prstGeom prst="rect">
                            <a:avLst/>
                          </a:prstGeom>
                        </pic:spPr>
                      </pic:pic>
                    </a:graphicData>
                  </a:graphic>
                </wp:inline>
              </w:drawing>
            </w:r>
          </w:p>
        </w:tc>
      </w:tr>
    </w:tbl>
    <w:p>
      <w:pPr>
        <w:spacing w:after="80" w:before="0"/>
      </w:pPr>
      <w:r>
        <w:rPr>
          <w:rFonts w:ascii="Arial" w:cs="Arial" w:eastAsia="Arial" w:hAnsi="Arial"/>
          <w:sz w:val="20"/>
          <w:szCs w:val="20"/>
        </w:rPr>
        <w:t xml:space="preserve"/>
      </w:r>
    </w:p>
    <w:p>
      <w:pPr>
        <w:spacing w:after="60" w:before="0"/>
      </w:pPr>
      <w:r>
        <w:rPr>
          <w:rFonts w:ascii="Arial" w:cs="Arial" w:eastAsia="Arial" w:hAnsi="Arial"/>
          <w:sz w:val="18"/>
          <w:szCs w:val="18"/>
        </w:rPr>
        <w:t xml:space="preserve">Westbridge Station Access and Enabling Works (WSAE) required a Platform 4 worksite access window planned for 04 March 2026 under Accepted Programme AP12 (activity WSAE-A1200). On 24 February 2026 Theo Grant (CityRail Operations, Access Interface Manager) flagged an emerging operational constraint on that window. Marcus Reed (Northstar Civil Engineering Ltd, Contractor Delivery Lead) recorded early warning EW-006 on 25 February 2026 concerning the same access risk. EW-006 is a separate record from the later compensation event notification; this report does not treat EW-006 as automatically converting into CE-018.</w:t>
      </w:r>
    </w:p>
    <w:p>
      <w:pPr>
        <w:spacing w:after="60" w:before="0"/>
      </w:pPr>
      <w:r>
        <w:rPr>
          <w:rFonts w:ascii="Arial" w:cs="Arial" w:eastAsia="Arial" w:hAnsi="Arial"/>
          <w:sz w:val="18"/>
          <w:szCs w:val="18"/>
        </w:rPr>
        <w:t xml:space="preserve">On 04 March 2026 CityRail confirmed that only a 2-hour escorted window (03:00–05:00) was available against the planned 8-hour window, which was insufficient to establish the worksite. The Contractor notified CE-018 on 05 March 2026. Elena Brooks (NEC4 Project Manager) responded on 12 March 2026, within the configured one-week period, and requested an evidence-backed quotation. Marcus Reed submitted Quotation Rev B on 28 March 2026, within the configured three-week period, evidencing a 10 working-day schedule effect and GBP 185,000 commercial exposure. Full worksite access was achieved on 18 March 2026. Elena Brooks' response to the quotation is due 11 April 2026 and has not yet been recorded. Project Manager review is required to determine the compensation event basis, assess the quotation and issue the next contractual communication — none of which the assistant may do.</w:t>
      </w:r>
    </w:p>
    <w:p>
      <w:r>
        <w:br w:type="page"/>
      </w:r>
    </w:p>
    <w:p>
      <w:pPr>
        <w:shd w:fill="25395B" w:val="clear"/>
        <w:spacing w:after="80" w:before="160"/>
      </w:pPr>
      <w:r>
        <w:rPr>
          <w:rFonts w:ascii="Arial" w:cs="Arial" w:eastAsia="Arial" w:hAnsi="Arial"/>
          <w:b/>
          <w:bCs/>
          <w:color w:val="FFFFFF"/>
          <w:sz w:val="22"/>
          <w:szCs w:val="22"/>
        </w:rPr>
        <w:t xml:space="preserve">EVIDENCE AND CORRESPONDENCE REVIEWED</w:t>
      </w:r>
    </w:p>
    <w:p>
      <w:pPr>
        <w:spacing w:after="40" w:before="0"/>
      </w:pPr>
      <w:r>
        <w:rPr>
          <w:rFonts w:ascii="Arial" w:cs="Arial" w:eastAsia="Arial" w:hAnsi="Arial"/>
          <w:b/>
          <w:bCs/>
          <w:sz w:val="17"/>
          <w:szCs w:val="17"/>
        </w:rPr>
        <w:t xml:space="preserve">Correspondence:</w:t>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500"/>
        <w:gridCol w:w="3000"/>
        <w:gridCol w:w="2764"/>
      </w:tblGrid>
      <w:tr>
        <w:trPr>
          <w:tblHeader/>
        </w:trPr>
        <w:tc>
          <w:tcPr>
            <w:tcW w:type="dxa" w:w="1400"/>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Record ID</w:t>
            </w:r>
          </w:p>
        </w:tc>
        <w:tc>
          <w:tcPr>
            <w:tcW w:type="dxa" w:w="1200"/>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Date</w:t>
            </w:r>
          </w:p>
        </w:tc>
        <w:tc>
          <w:tcPr>
            <w:tcW w:type="dxa" w:w="1500"/>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Sender</w:t>
            </w:r>
          </w:p>
        </w:tc>
        <w:tc>
          <w:tcPr>
            <w:tcW w:type="dxa" w:w="3000"/>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Recipients</w:t>
            </w:r>
          </w:p>
        </w:tc>
        <w:tc>
          <w:tcPr>
            <w:tcW w:type="dxa" w:w="2764"/>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Purpose / Trigger</w:t>
            </w:r>
          </w:p>
        </w:tc>
      </w:tr>
      <w:tr>
        <w:tc>
          <w:tcPr>
            <w:tcW w:type="dxa" w:w="14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CORR-001</w:t>
            </w:r>
          </w:p>
        </w:tc>
        <w:tc>
          <w:tcPr>
            <w:tcW w:type="dxa" w:w="12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24 Feb 2026</w:t>
            </w:r>
          </w:p>
        </w:tc>
        <w:tc>
          <w:tcPr>
            <w:tcW w:type="dxa" w:w="15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Theo Grant</w:t>
            </w:r>
          </w:p>
        </w:tc>
        <w:tc>
          <w:tcPr>
            <w:tcW w:type="dxa" w:w="3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Marcus Reed / Elena Brooks / Sofia Khan</w:t>
            </w:r>
          </w:p>
        </w:tc>
        <w:tc>
          <w:tcPr>
            <w:tcW w:type="dxa" w:w="27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Emerging access constraint</w:t>
            </w:r>
          </w:p>
        </w:tc>
      </w:tr>
      <w:tr>
        <w:tc>
          <w:tcPr>
            <w:tcW w:type="dxa" w:w="14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EW-006</w:t>
            </w:r>
          </w:p>
        </w:tc>
        <w:tc>
          <w:tcPr>
            <w:tcW w:type="dxa" w:w="12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25 Feb 2026</w:t>
            </w:r>
          </w:p>
        </w:tc>
        <w:tc>
          <w:tcPr>
            <w:tcW w:type="dxa" w:w="15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Marcus Reed</w:t>
            </w:r>
          </w:p>
        </w:tc>
        <w:tc>
          <w:tcPr>
            <w:tcW w:type="dxa" w:w="3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Elena Brooks / Theo Grant / Sofia Khan</w:t>
            </w:r>
          </w:p>
        </w:tc>
        <w:tc>
          <w:tcPr>
            <w:tcW w:type="dxa" w:w="27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Early warning — access risk</w:t>
            </w:r>
          </w:p>
        </w:tc>
      </w:tr>
      <w:tr>
        <w:tc>
          <w:tcPr>
            <w:tcW w:type="dxa" w:w="14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ACC-004</w:t>
            </w:r>
          </w:p>
        </w:tc>
        <w:tc>
          <w:tcPr>
            <w:tcW w:type="dxa" w:w="12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04 Mar 2026</w:t>
            </w:r>
          </w:p>
        </w:tc>
        <w:tc>
          <w:tcPr>
            <w:tcW w:type="dxa" w:w="15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Theo Grant</w:t>
            </w:r>
          </w:p>
        </w:tc>
        <w:tc>
          <w:tcPr>
            <w:tcW w:type="dxa" w:w="3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Marcus Reed / Elena Brooks / Sofia Khan</w:t>
            </w:r>
          </w:p>
        </w:tc>
        <w:tc>
          <w:tcPr>
            <w:tcW w:type="dxa" w:w="27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Access restriction confirmed</w:t>
            </w:r>
          </w:p>
        </w:tc>
      </w:tr>
      <w:tr>
        <w:tc>
          <w:tcPr>
            <w:tcW w:type="dxa" w:w="14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CE-018 (email)</w:t>
            </w:r>
          </w:p>
        </w:tc>
        <w:tc>
          <w:tcPr>
            <w:tcW w:type="dxa" w:w="12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05 Mar 2026</w:t>
            </w:r>
          </w:p>
        </w:tc>
        <w:tc>
          <w:tcPr>
            <w:tcW w:type="dxa" w:w="15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Marcus Reed</w:t>
            </w:r>
          </w:p>
        </w:tc>
        <w:tc>
          <w:tcPr>
            <w:tcW w:type="dxa" w:w="3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Elena Brooks / Sofia Khan</w:t>
            </w:r>
          </w:p>
        </w:tc>
        <w:tc>
          <w:tcPr>
            <w:tcW w:type="dxa" w:w="27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CE-018 notification</w:t>
            </w:r>
          </w:p>
        </w:tc>
      </w:tr>
      <w:tr>
        <w:tc>
          <w:tcPr>
            <w:tcW w:type="dxa" w:w="14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PMR-018</w:t>
            </w:r>
          </w:p>
        </w:tc>
        <w:tc>
          <w:tcPr>
            <w:tcW w:type="dxa" w:w="12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12 Mar 2026</w:t>
            </w:r>
          </w:p>
        </w:tc>
        <w:tc>
          <w:tcPr>
            <w:tcW w:type="dxa" w:w="15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Elena Brooks</w:t>
            </w:r>
          </w:p>
        </w:tc>
        <w:tc>
          <w:tcPr>
            <w:tcW w:type="dxa" w:w="3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Marcus Reed / Sofia Khan</w:t>
            </w:r>
          </w:p>
        </w:tc>
        <w:tc>
          <w:tcPr>
            <w:tcW w:type="dxa" w:w="27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PM response / quotation request</w:t>
            </w:r>
          </w:p>
        </w:tc>
      </w:tr>
      <w:tr>
        <w:tc>
          <w:tcPr>
            <w:tcW w:type="dxa" w:w="14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QSUB-018</w:t>
            </w:r>
          </w:p>
        </w:tc>
        <w:tc>
          <w:tcPr>
            <w:tcW w:type="dxa" w:w="12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28 Mar 2026</w:t>
            </w:r>
          </w:p>
        </w:tc>
        <w:tc>
          <w:tcPr>
            <w:tcW w:type="dxa" w:w="15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Marcus Reed</w:t>
            </w:r>
          </w:p>
        </w:tc>
        <w:tc>
          <w:tcPr>
            <w:tcW w:type="dxa" w:w="3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Elena Brooks / Sofia Khan</w:t>
            </w:r>
          </w:p>
        </w:tc>
        <w:tc>
          <w:tcPr>
            <w:tcW w:type="dxa" w:w="27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Quotation Rev B submission</w:t>
            </w:r>
          </w:p>
        </w:tc>
      </w:tr>
    </w:tbl>
    <w:p>
      <w:pPr>
        <w:spacing w:after="40" w:before="100"/>
      </w:pPr>
      <w:r>
        <w:rPr>
          <w:rFonts w:ascii="Arial" w:cs="Arial" w:eastAsia="Arial" w:hAnsi="Arial"/>
          <w:b/>
          <w:bCs/>
          <w:sz w:val="17"/>
          <w:szCs w:val="17"/>
        </w:rPr>
        <w:t xml:space="preserve">Programme:</w:t>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4864"/>
      </w:tblGrid>
      <w:tr>
        <w:trPr>
          <w:tblHeader/>
        </w:trPr>
        <w:tc>
          <w:tcPr>
            <w:tcW w:type="dxa" w:w="1400"/>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Record</w:t>
            </w:r>
          </w:p>
        </w:tc>
        <w:tc>
          <w:tcPr>
            <w:tcW w:type="dxa" w:w="1400"/>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Status</w:t>
            </w:r>
          </w:p>
        </w:tc>
        <w:tc>
          <w:tcPr>
            <w:tcW w:type="dxa" w:w="2200"/>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Data Date</w:t>
            </w:r>
          </w:p>
        </w:tc>
        <w:tc>
          <w:tcPr>
            <w:tcW w:type="dxa" w:w="4864"/>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Permitted Use</w:t>
            </w:r>
          </w:p>
        </w:tc>
      </w:tr>
      <w:tr>
        <w:tc>
          <w:tcPr>
            <w:tcW w:type="dxa" w:w="14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AP12 (PROG-AP12)</w:t>
            </w:r>
          </w:p>
        </w:tc>
        <w:tc>
          <w:tcPr>
            <w:tcW w:type="dxa" w:w="14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Accepted Programme</w:t>
            </w:r>
          </w:p>
        </w:tc>
        <w:tc>
          <w:tcPr>
            <w:tcW w:type="dxa" w:w="22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20 Feb 2026</w:t>
            </w:r>
          </w:p>
        </w:tc>
        <w:tc>
          <w:tcPr>
            <w:tcW w:type="dxa" w:w="48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What was planned when the event occurred — not to be substituted by UP13</w:t>
            </w:r>
          </w:p>
        </w:tc>
      </w:tr>
      <w:tr>
        <w:tc>
          <w:tcPr>
            <w:tcW w:type="dxa" w:w="14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UP13 (PROG-UP13)</w:t>
            </w:r>
          </w:p>
        </w:tc>
        <w:tc>
          <w:tcPr>
            <w:tcW w:type="dxa" w:w="14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Current controlled update</w:t>
            </w:r>
          </w:p>
        </w:tc>
        <w:tc>
          <w:tcPr>
            <w:tcW w:type="dxa" w:w="22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20 Mar 2026</w:t>
            </w:r>
          </w:p>
        </w:tc>
        <w:tc>
          <w:tcPr>
            <w:tcW w:type="dxa" w:w="48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Actual progress, float and current forecast — not itself the Accepted Programme</w:t>
            </w:r>
          </w:p>
        </w:tc>
      </w:tr>
    </w:tbl>
    <w:p>
      <w:pPr>
        <w:spacing w:after="40" w:before="100"/>
      </w:pPr>
      <w:r>
        <w:rPr>
          <w:rFonts w:ascii="Arial" w:cs="Arial" w:eastAsia="Arial" w:hAnsi="Arial"/>
          <w:b/>
          <w:bCs/>
          <w:sz w:val="17"/>
          <w:szCs w:val="17"/>
        </w:rPr>
        <w:t xml:space="preserve">Commercial records:</w:t>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864"/>
      </w:tblGrid>
      <w:tr>
        <w:trPr>
          <w:tblHeader/>
        </w:trPr>
        <w:tc>
          <w:tcPr>
            <w:tcW w:type="dxa" w:w="2400"/>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Record</w:t>
            </w:r>
          </w:p>
        </w:tc>
        <w:tc>
          <w:tcPr>
            <w:tcW w:type="dxa" w:w="1200"/>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Revision</w:t>
            </w:r>
          </w:p>
        </w:tc>
        <w:tc>
          <w:tcPr>
            <w:tcW w:type="dxa" w:w="2400"/>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Owner</w:t>
            </w:r>
          </w:p>
        </w:tc>
        <w:tc>
          <w:tcPr>
            <w:tcW w:type="dxa" w:w="3864"/>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Value</w:t>
            </w:r>
          </w:p>
        </w:tc>
      </w:tr>
      <w:tr>
        <w:tc>
          <w:tcPr>
            <w:tcW w:type="dxa" w:w="24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Quotation Rev B (QUOT-CE018-REVB)</w:t>
            </w:r>
          </w:p>
        </w:tc>
        <w:tc>
          <w:tcPr>
            <w:tcW w:type="dxa" w:w="12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B</w:t>
            </w:r>
          </w:p>
        </w:tc>
        <w:tc>
          <w:tcPr>
            <w:tcW w:type="dxa" w:w="24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Commercial Manager</w:t>
            </w:r>
          </w:p>
        </w:tc>
        <w:tc>
          <w:tcPr>
            <w:tcW w:type="dxa" w:w="38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GBP 185,000 / 10 working days</w:t>
            </w:r>
          </w:p>
        </w:tc>
      </w:tr>
      <w:tr>
        <w:tc>
          <w:tcPr>
            <w:tcW w:type="dxa" w:w="24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Cost Forecast P07 (FCST-P07)</w:t>
            </w:r>
          </w:p>
        </w:tc>
        <w:tc>
          <w:tcPr>
            <w:tcW w:type="dxa" w:w="12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P07</w:t>
            </w:r>
          </w:p>
        </w:tc>
        <w:tc>
          <w:tcPr>
            <w:tcW w:type="dxa" w:w="24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Sofia Khan</w:t>
            </w:r>
          </w:p>
        </w:tc>
        <w:tc>
          <w:tcPr>
            <w:tcW w:type="dxa" w:w="38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GBP 185,000 / 10 working days</w:t>
            </w:r>
          </w:p>
        </w:tc>
      </w:tr>
      <w:tr>
        <w:tc>
          <w:tcPr>
            <w:tcW w:type="dxa" w:w="24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Risk Register (RISK-044)</w:t>
            </w:r>
          </w:p>
        </w:tc>
        <w:tc>
          <w:tcPr>
            <w:tcW w:type="dxa" w:w="12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7</w:t>
            </w:r>
          </w:p>
        </w:tc>
        <w:tc>
          <w:tcPr>
            <w:tcW w:type="dxa" w:w="24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Theo Grant (risk owner)</w:t>
            </w:r>
          </w:p>
        </w:tc>
        <w:tc>
          <w:tcPr>
            <w:tcW w:type="dxa" w:w="38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GBP 185,000 / 10 working days</w:t>
            </w:r>
          </w:p>
        </w:tc>
      </w:tr>
      <w:tr>
        <w:tc>
          <w:tcPr>
            <w:tcW w:type="dxa" w:w="24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Change Register (CHG-018)</w:t>
            </w:r>
          </w:p>
        </w:tc>
        <w:tc>
          <w:tcPr>
            <w:tcW w:type="dxa" w:w="12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5</w:t>
            </w:r>
          </w:p>
        </w:tc>
        <w:tc>
          <w:tcPr>
            <w:tcW w:type="dxa" w:w="24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Elena Brooks (decision owner)</w:t>
            </w:r>
          </w:p>
        </w:tc>
        <w:tc>
          <w:tcPr>
            <w:tcW w:type="dxa" w:w="38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GBP 185,000 / 10 working days — Not yet decided</w:t>
            </w:r>
          </w:p>
        </w:tc>
      </w:tr>
    </w:tbl>
    <w:p>
      <w:pPr>
        <w:spacing w:after="60" w:before="80"/>
      </w:pPr>
      <w:r>
        <w:rPr>
          <w:rFonts w:ascii="Arial" w:cs="Arial" w:eastAsia="Arial" w:hAnsi="Arial"/>
          <w:i/>
          <w:iCs/>
          <w:color w:val="754887"/>
          <w:sz w:val="14"/>
          <w:szCs w:val="14"/>
        </w:rPr>
        <w:t xml:space="preserve">Control references reviewed: Source_Register.csv (SRC-001) rev 3.0; Actor_Authority_Matrix.csv (CTRL-002); Route_Clock_Rules.csv (CTRL-003); WBS_Hierarchy.csv (WBS-001); CBS_Hierarchy.csv (CBS-001); CE018_WBS_Programme_CBS_Crosswalk.csv (XWALK-001); Four_Test_Checklist.csv (CTRL-005); NEC4_Decision_Readiness_Control_Matrix.csv (CTRL-007).</w:t>
      </w:r>
    </w:p>
    <w:p>
      <w:pPr>
        <w:shd w:fill="754887" w:val="clear"/>
        <w:spacing w:after="80" w:before="160"/>
      </w:pPr>
      <w:r>
        <w:rPr>
          <w:rFonts w:ascii="Arial" w:cs="Arial" w:eastAsia="Arial" w:hAnsi="Arial"/>
          <w:b/>
          <w:bCs/>
          <w:color w:val="FFFFFF"/>
          <w:sz w:val="22"/>
          <w:szCs w:val="22"/>
        </w:rPr>
        <w:t xml:space="preserve">ASSURANCE SCOPE AND CONTROL TESTS</w:t>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6464"/>
      </w:tblGrid>
      <w:tr>
        <w:trPr>
          <w:tblHeader/>
        </w:trPr>
        <w:tc>
          <w:tcPr>
            <w:tcW w:type="dxa" w:w="800"/>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Test</w:t>
            </w:r>
          </w:p>
        </w:tc>
        <w:tc>
          <w:tcPr>
            <w:tcW w:type="dxa" w:w="2600"/>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Name</w:t>
            </w:r>
          </w:p>
        </w:tc>
        <w:tc>
          <w:tcPr>
            <w:tcW w:type="dxa" w:w="6464"/>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Why it matters</w:t>
            </w:r>
          </w:p>
        </w:tc>
      </w:tr>
      <w:tr>
        <w:tc>
          <w:tcPr>
            <w:tcW w:type="dxa" w:w="8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T1</w:t>
            </w:r>
          </w:p>
        </w:tc>
        <w:tc>
          <w:tcPr>
            <w:tcW w:type="dxa" w:w="26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Evidence and version</w:t>
            </w:r>
          </w:p>
        </w:tc>
        <w:tc>
          <w:tcPr>
            <w:tcW w:type="dxa" w:w="64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Prevents decisions using missing, superseded or unapproved records.</w:t>
            </w:r>
          </w:p>
        </w:tc>
      </w:tr>
      <w:tr>
        <w:tc>
          <w:tcPr>
            <w:tcW w:type="dxa" w:w="8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T2</w:t>
            </w:r>
          </w:p>
        </w:tc>
        <w:tc>
          <w:tcPr>
            <w:tcW w:type="dxa" w:w="26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Records agree</w:t>
            </w:r>
          </w:p>
        </w:tc>
        <w:tc>
          <w:tcPr>
            <w:tcW w:type="dxa" w:w="64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Tests whether programme, cost, forecast, risk and change records support the same time and cost position.</w:t>
            </w:r>
          </w:p>
        </w:tc>
      </w:tr>
      <w:tr>
        <w:tc>
          <w:tcPr>
            <w:tcW w:type="dxa" w:w="8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T3</w:t>
            </w:r>
          </w:p>
        </w:tc>
        <w:tc>
          <w:tcPr>
            <w:tcW w:type="dxa" w:w="26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Configured NEC4 route and clock</w:t>
            </w:r>
          </w:p>
        </w:tc>
        <w:tc>
          <w:tcPr>
            <w:tcW w:type="dxa" w:w="64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Tests whether the configured communication, role and response period have been followed.</w:t>
            </w:r>
          </w:p>
        </w:tc>
      </w:tr>
      <w:tr>
        <w:tc>
          <w:tcPr>
            <w:tcW w:type="dxa" w:w="8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T4</w:t>
            </w:r>
          </w:p>
        </w:tc>
        <w:tc>
          <w:tcPr>
            <w:tcW w:type="dxa" w:w="26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Human authority</w:t>
            </w:r>
          </w:p>
        </w:tc>
        <w:tc>
          <w:tcPr>
            <w:tcW w:type="dxa" w:w="64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5"/>
                <w:szCs w:val="15"/>
              </w:rPr>
              <w:t xml:space="preserve">Prevents the assistant from taking a decision reserved to the named NEC4 role.</w:t>
            </w:r>
          </w:p>
        </w:tc>
      </w:tr>
    </w:tbl>
    <w:p>
      <w:r>
        <w:br w:type="page"/>
      </w:r>
    </w:p>
    <w:p>
      <w:pPr>
        <w:shd w:fill="25395B" w:val="clear"/>
        <w:spacing w:after="80" w:before="160"/>
      </w:pPr>
      <w:r>
        <w:rPr>
          <w:rFonts w:ascii="Arial" w:cs="Arial" w:eastAsia="Arial" w:hAnsi="Arial"/>
          <w:b/>
          <w:bCs/>
          <w:color w:val="FFFFFF"/>
          <w:sz w:val="22"/>
          <w:szCs w:val="22"/>
        </w:rPr>
        <w:t xml:space="preserve">PROGRAMME, COST, RISK AND CHANGE RECONCILIATION</w:t>
      </w:r>
    </w:p>
    <w:tbl>
      <w:tblPr>
        <w:tblW w:type="dxa" w:w="8364"/>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550"/>
        <w:gridCol w:w="1550"/>
        <w:gridCol w:w="1364"/>
      </w:tblGrid>
      <w:tr>
        <w:trPr>
          <w:tblHeader/>
        </w:trPr>
        <w:tc>
          <w:tcPr>
            <w:tcW w:type="dxa" w:w="1300"/>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WBS / Activity / CBS</w:t>
            </w:r>
          </w:p>
        </w:tc>
        <w:tc>
          <w:tcPr>
            <w:tcW w:type="dxa" w:w="1300"/>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AP12 Position</w:t>
            </w:r>
          </w:p>
        </w:tc>
        <w:tc>
          <w:tcPr>
            <w:tcW w:type="dxa" w:w="1300"/>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UP13 Position</w:t>
            </w:r>
          </w:p>
        </w:tc>
        <w:tc>
          <w:tcPr>
            <w:tcW w:type="dxa" w:w="1550"/>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Quotation (GBP)</w:t>
            </w:r>
          </w:p>
        </w:tc>
        <w:tc>
          <w:tcPr>
            <w:tcW w:type="dxa" w:w="1550"/>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Forecast (GBP)</w:t>
            </w:r>
          </w:p>
        </w:tc>
        <w:tc>
          <w:tcPr>
            <w:tcW w:type="dxa" w:w="1364"/>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Variance</w:t>
            </w:r>
          </w:p>
        </w:tc>
      </w:tr>
      <w:tr>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WSAE.20.10 / WSAE-A1200 / WSAE-C210</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Planned start/finish 04 Mar 2026 (0 days duration, milestone)</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Actual finish 18 Mar 2026 — 10 working days later than AP12</w:t>
            </w:r>
          </w:p>
        </w:tc>
        <w:tc>
          <w:tcPr>
            <w:tcW w:type="dxa" w:w="155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right"/>
            </w:pPr>
            <w:r>
              <w:rPr>
                <w:rFonts w:ascii="Arial" w:cs="Arial" w:eastAsia="Arial" w:hAnsi="Arial"/>
                <w:b w:val="false"/>
                <w:bCs w:val="false"/>
                <w:i w:val="false"/>
                <w:iCs w:val="false"/>
                <w:color w:val="000000"/>
                <w:sz w:val="13"/>
                <w:szCs w:val="13"/>
              </w:rPr>
              <w:t xml:space="preserve">25,000</w:t>
            </w:r>
          </w:p>
        </w:tc>
        <w:tc>
          <w:tcPr>
            <w:tcW w:type="dxa" w:w="155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right"/>
            </w:pPr>
            <w:r>
              <w:rPr>
                <w:rFonts w:ascii="Arial" w:cs="Arial" w:eastAsia="Arial" w:hAnsi="Arial"/>
                <w:b w:val="false"/>
                <w:bCs w:val="false"/>
                <w:i w:val="false"/>
                <w:iCs w:val="false"/>
                <w:color w:val="000000"/>
                <w:sz w:val="13"/>
                <w:szCs w:val="13"/>
              </w:rPr>
              <w:t xml:space="preserve">25,000</w:t>
            </w:r>
          </w:p>
        </w:tc>
        <w:tc>
          <w:tcPr>
            <w:tcW w:type="dxa" w:w="13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2"/>
                <w:szCs w:val="12"/>
              </w:rPr>
              <w:t xml:space="preserve">Quotation = Forecast. Risk and Change records carry the event total, not a per-CBS split.</w:t>
            </w:r>
          </w:p>
        </w:tc>
      </w:tr>
      <w:tr>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WSAE.30.10 / WSAE-A1300 / WSAE-C310</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Planned 05–18 Mar 2026 (10 days)</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Actual start 19 Mar 2026, in progress, early finish forecast 01 Apr 2026 — 10-day slip</w:t>
            </w:r>
          </w:p>
        </w:tc>
        <w:tc>
          <w:tcPr>
            <w:tcW w:type="dxa" w:w="155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right"/>
            </w:pPr>
            <w:r>
              <w:rPr>
                <w:rFonts w:ascii="Arial" w:cs="Arial" w:eastAsia="Arial" w:hAnsi="Arial"/>
                <w:b w:val="false"/>
                <w:bCs w:val="false"/>
                <w:i w:val="false"/>
                <w:iCs w:val="false"/>
                <w:color w:val="000000"/>
                <w:sz w:val="13"/>
                <w:szCs w:val="13"/>
              </w:rPr>
              <w:t xml:space="preserve">55,000</w:t>
            </w:r>
          </w:p>
        </w:tc>
        <w:tc>
          <w:tcPr>
            <w:tcW w:type="dxa" w:w="155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right"/>
            </w:pPr>
            <w:r>
              <w:rPr>
                <w:rFonts w:ascii="Arial" w:cs="Arial" w:eastAsia="Arial" w:hAnsi="Arial"/>
                <w:b w:val="false"/>
                <w:bCs w:val="false"/>
                <w:i w:val="false"/>
                <w:iCs w:val="false"/>
                <w:color w:val="000000"/>
                <w:sz w:val="13"/>
                <w:szCs w:val="13"/>
              </w:rPr>
              <w:t xml:space="preserve">55,000</w:t>
            </w:r>
          </w:p>
        </w:tc>
        <w:tc>
          <w:tcPr>
            <w:tcW w:type="dxa" w:w="13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2"/>
                <w:szCs w:val="12"/>
              </w:rPr>
              <w:t xml:space="preserve">Quotation = Forecast.</w:t>
            </w:r>
          </w:p>
        </w:tc>
      </w:tr>
      <w:tr>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WSAE.30.10 / WSAE-A1300 / WSAE-C320</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Planned 05–18 Mar 2026 (10 days)</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As above — 10-day slip</w:t>
            </w:r>
          </w:p>
        </w:tc>
        <w:tc>
          <w:tcPr>
            <w:tcW w:type="dxa" w:w="155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right"/>
            </w:pPr>
            <w:r>
              <w:rPr>
                <w:rFonts w:ascii="Arial" w:cs="Arial" w:eastAsia="Arial" w:hAnsi="Arial"/>
                <w:b w:val="false"/>
                <w:bCs w:val="false"/>
                <w:i w:val="false"/>
                <w:iCs w:val="false"/>
                <w:color w:val="000000"/>
                <w:sz w:val="13"/>
                <w:szCs w:val="13"/>
              </w:rPr>
              <w:t xml:space="preserve">35,000</w:t>
            </w:r>
          </w:p>
        </w:tc>
        <w:tc>
          <w:tcPr>
            <w:tcW w:type="dxa" w:w="155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right"/>
            </w:pPr>
            <w:r>
              <w:rPr>
                <w:rFonts w:ascii="Arial" w:cs="Arial" w:eastAsia="Arial" w:hAnsi="Arial"/>
                <w:b w:val="false"/>
                <w:bCs w:val="false"/>
                <w:i w:val="false"/>
                <w:iCs w:val="false"/>
                <w:color w:val="000000"/>
                <w:sz w:val="13"/>
                <w:szCs w:val="13"/>
              </w:rPr>
              <w:t xml:space="preserve">35,000</w:t>
            </w:r>
          </w:p>
        </w:tc>
        <w:tc>
          <w:tcPr>
            <w:tcW w:type="dxa" w:w="13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2"/>
                <w:szCs w:val="12"/>
              </w:rPr>
              <w:t xml:space="preserve">Quotation = Forecast.</w:t>
            </w:r>
          </w:p>
        </w:tc>
      </w:tr>
      <w:tr>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WSAE.30.20 / WSAE-A1400 / WSAE-C510</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Planned 19–27 Mar 2026 (7 days)</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Forecast start 02 Apr 2026, forecast finish 14 Apr 2026 — 10-day slip</w:t>
            </w:r>
          </w:p>
        </w:tc>
        <w:tc>
          <w:tcPr>
            <w:tcW w:type="dxa" w:w="155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right"/>
            </w:pPr>
            <w:r>
              <w:rPr>
                <w:rFonts w:ascii="Arial" w:cs="Arial" w:eastAsia="Arial" w:hAnsi="Arial"/>
                <w:b w:val="false"/>
                <w:bCs w:val="false"/>
                <w:i w:val="false"/>
                <w:iCs w:val="false"/>
                <w:color w:val="000000"/>
                <w:sz w:val="13"/>
                <w:szCs w:val="13"/>
              </w:rPr>
              <w:t xml:space="preserve">50,000</w:t>
            </w:r>
          </w:p>
        </w:tc>
        <w:tc>
          <w:tcPr>
            <w:tcW w:type="dxa" w:w="155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right"/>
            </w:pPr>
            <w:r>
              <w:rPr>
                <w:rFonts w:ascii="Arial" w:cs="Arial" w:eastAsia="Arial" w:hAnsi="Arial"/>
                <w:b w:val="false"/>
                <w:bCs w:val="false"/>
                <w:i w:val="false"/>
                <w:iCs w:val="false"/>
                <w:color w:val="000000"/>
                <w:sz w:val="13"/>
                <w:szCs w:val="13"/>
              </w:rPr>
              <w:t xml:space="preserve">50,000</w:t>
            </w:r>
          </w:p>
        </w:tc>
        <w:tc>
          <w:tcPr>
            <w:tcW w:type="dxa" w:w="13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2"/>
                <w:szCs w:val="12"/>
              </w:rPr>
              <w:t xml:space="preserve">Quotation = Forecast.</w:t>
            </w:r>
          </w:p>
        </w:tc>
      </w:tr>
      <w:tr>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WSAE.10 / WSAE-M9000 / WSAE-C610</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Planned finish milestone 27 Mar 2026</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Forecast finish 14 Apr 2026 — 10-day slip</w:t>
            </w:r>
          </w:p>
        </w:tc>
        <w:tc>
          <w:tcPr>
            <w:tcW w:type="dxa" w:w="155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right"/>
            </w:pPr>
            <w:r>
              <w:rPr>
                <w:rFonts w:ascii="Arial" w:cs="Arial" w:eastAsia="Arial" w:hAnsi="Arial"/>
                <w:b w:val="false"/>
                <w:bCs w:val="false"/>
                <w:i w:val="false"/>
                <w:iCs w:val="false"/>
                <w:color w:val="000000"/>
                <w:sz w:val="13"/>
                <w:szCs w:val="13"/>
              </w:rPr>
              <w:t xml:space="preserve">20,000</w:t>
            </w:r>
          </w:p>
        </w:tc>
        <w:tc>
          <w:tcPr>
            <w:tcW w:type="dxa" w:w="155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right"/>
            </w:pPr>
            <w:r>
              <w:rPr>
                <w:rFonts w:ascii="Arial" w:cs="Arial" w:eastAsia="Arial" w:hAnsi="Arial"/>
                <w:b w:val="false"/>
                <w:bCs w:val="false"/>
                <w:i w:val="false"/>
                <w:iCs w:val="false"/>
                <w:color w:val="000000"/>
                <w:sz w:val="13"/>
                <w:szCs w:val="13"/>
              </w:rPr>
              <w:t xml:space="preserve">20,000</w:t>
            </w:r>
          </w:p>
        </w:tc>
        <w:tc>
          <w:tcPr>
            <w:tcW w:type="dxa" w:w="13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2"/>
                <w:szCs w:val="12"/>
              </w:rPr>
              <w:t xml:space="preserve">Quotation = Forecast.</w:t>
            </w:r>
          </w:p>
        </w:tc>
      </w:tr>
      <w:tr>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WSAE.20.10 (event total) /  / </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n/a</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10 working days (matches quotation total)</w:t>
            </w:r>
          </w:p>
        </w:tc>
        <w:tc>
          <w:tcPr>
            <w:tcW w:type="dxa" w:w="155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right"/>
            </w:pPr>
            <w:r>
              <w:rPr>
                <w:rFonts w:ascii="Arial" w:cs="Arial" w:eastAsia="Arial" w:hAnsi="Arial"/>
                <w:b w:val="false"/>
                <w:bCs w:val="false"/>
                <w:i w:val="false"/>
                <w:iCs w:val="false"/>
                <w:color w:val="000000"/>
                <w:sz w:val="13"/>
                <w:szCs w:val="13"/>
              </w:rPr>
              <w:t xml:space="preserve">185,000</w:t>
            </w:r>
          </w:p>
        </w:tc>
        <w:tc>
          <w:tcPr>
            <w:tcW w:type="dxa" w:w="155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right"/>
            </w:pPr>
            <w:r>
              <w:rPr>
                <w:rFonts w:ascii="Arial" w:cs="Arial" w:eastAsia="Arial" w:hAnsi="Arial"/>
                <w:b w:val="false"/>
                <w:bCs w:val="false"/>
                <w:i w:val="false"/>
                <w:iCs w:val="false"/>
                <w:color w:val="000000"/>
                <w:sz w:val="13"/>
                <w:szCs w:val="13"/>
              </w:rPr>
              <w:t xml:space="preserve">185,000</w:t>
            </w:r>
          </w:p>
        </w:tc>
        <w:tc>
          <w:tcPr>
            <w:tcW w:type="dxa" w:w="13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2"/>
                <w:szCs w:val="12"/>
              </w:rPr>
              <w:t xml:space="preserve">All five records agree at GBP 185,000 / 10 working days. No material conflict identified.</w:t>
            </w:r>
          </w:p>
        </w:tc>
      </w:tr>
    </w:tbl>
    <w:p>
      <w:pPr>
        <w:spacing w:after="60" w:before="60"/>
      </w:pPr>
      <w:r>
        <w:rPr>
          <w:rFonts w:ascii="Arial" w:cs="Arial" w:eastAsia="Arial" w:hAnsi="Arial"/>
          <w:i/>
          <w:iCs/>
          <w:color w:val="754887"/>
          <w:sz w:val="14"/>
          <w:szCs w:val="14"/>
        </w:rPr>
        <w:t xml:space="preserve">All five commercial records (Quotation, Forecast, Risk Register, Change Register) agree at GBP 185,000 / 10 working days. No material conflict identified; conflicting values are never averaged.</w:t>
      </w:r>
    </w:p>
    <w:p>
      <w:pPr>
        <w:shd w:fill="754887" w:val="clear"/>
        <w:spacing w:after="80" w:before="160"/>
      </w:pPr>
      <w:r>
        <w:rPr>
          <w:rFonts w:ascii="Arial" w:cs="Arial" w:eastAsia="Arial" w:hAnsi="Arial"/>
          <w:b/>
          <w:bCs/>
          <w:color w:val="FFFFFF"/>
          <w:sz w:val="22"/>
          <w:szCs w:val="22"/>
        </w:rPr>
        <w:t xml:space="preserve">ASSURANCE FINDINGS AND SCORES</w:t>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200"/>
        <w:gridCol w:w="3264"/>
        <w:gridCol w:w="2400"/>
        <w:gridCol w:w="1600"/>
      </w:tblGrid>
      <w:tr>
        <w:trPr>
          <w:tblHeader/>
        </w:trPr>
        <w:tc>
          <w:tcPr>
            <w:tcW w:type="dxa" w:w="700"/>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Test</w:t>
            </w:r>
          </w:p>
        </w:tc>
        <w:tc>
          <w:tcPr>
            <w:tcW w:type="dxa" w:w="700"/>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Score</w:t>
            </w:r>
          </w:p>
        </w:tc>
        <w:tc>
          <w:tcPr>
            <w:tcW w:type="dxa" w:w="1200"/>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Status</w:t>
            </w:r>
          </w:p>
        </w:tc>
        <w:tc>
          <w:tcPr>
            <w:tcW w:type="dxa" w:w="3264"/>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Finding</w:t>
            </w:r>
          </w:p>
        </w:tc>
        <w:tc>
          <w:tcPr>
            <w:tcW w:type="dxa" w:w="2400"/>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Consequence</w:t>
            </w:r>
          </w:p>
        </w:tc>
        <w:tc>
          <w:tcPr>
            <w:tcW w:type="dxa" w:w="1600"/>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Owner</w:t>
            </w:r>
          </w:p>
        </w:tc>
      </w:tr>
      <w:tr>
        <w:tc>
          <w:tcPr>
            <w:tcW w:type="dxa" w:w="7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center"/>
            </w:pPr>
            <w:r>
              <w:rPr>
                <w:rFonts w:ascii="Arial" w:cs="Arial" w:eastAsia="Arial" w:hAnsi="Arial"/>
                <w:b/>
                <w:bCs/>
                <w:i w:val="false"/>
                <w:iCs w:val="false"/>
                <w:color w:val="000000"/>
                <w:sz w:val="15"/>
                <w:szCs w:val="15"/>
              </w:rPr>
              <w:t xml:space="preserve">T1</w:t>
            </w:r>
          </w:p>
        </w:tc>
        <w:tc>
          <w:tcPr>
            <w:tcW w:type="dxa" w:w="700"/>
            <w:tcBorders>
              <w:top w:val="single" w:color="B7C0CC" w:sz="2"/>
              <w:left w:val="single" w:color="B7C0CC" w:sz="2"/>
              <w:bottom w:val="single" w:color="B7C0CC" w:sz="2"/>
              <w:right w:val="single" w:color="B7C0CC" w:sz="2"/>
            </w:tcBorders>
            <w:shd w:fill="C6EFCE"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000000"/>
                <w:sz w:val="15"/>
                <w:szCs w:val="15"/>
              </w:rPr>
              <w:t xml:space="preserve">2</w:t>
            </w:r>
          </w:p>
        </w:tc>
        <w:tc>
          <w:tcPr>
            <w:tcW w:type="dxa" w:w="12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center"/>
            </w:pPr>
            <w:r>
              <w:rPr>
                <w:rFonts w:ascii="Arial" w:cs="Arial" w:eastAsia="Arial" w:hAnsi="Arial"/>
                <w:b w:val="false"/>
                <w:bCs w:val="false"/>
                <w:i w:val="false"/>
                <w:iCs w:val="false"/>
                <w:color w:val="000000"/>
                <w:sz w:val="14"/>
                <w:szCs w:val="14"/>
              </w:rPr>
              <w:t xml:space="preserve">PASS</w:t>
            </w:r>
          </w:p>
        </w:tc>
        <w:tc>
          <w:tcPr>
            <w:tcW w:type="dxa" w:w="32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All 11 registered Project Context files and all 12 registered S1 evidence files are present at the approved revision in Source_Register.csv, and no S2/S3/S4 replacement or conflict file is present in the evidence pack.</w:t>
            </w:r>
          </w:p>
        </w:tc>
        <w:tc>
          <w:tcPr>
            <w:tcW w:type="dxa" w:w="24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None — evidence base is controlled and complete for S1.</w:t>
            </w:r>
          </w:p>
        </w:tc>
        <w:tc>
          <w:tcPr>
            <w:tcW w:type="dxa" w:w="16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Sofia Khan</w:t>
            </w:r>
          </w:p>
        </w:tc>
      </w:tr>
      <w:tr>
        <w:tc>
          <w:tcPr>
            <w:tcW w:type="dxa" w:w="7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center"/>
            </w:pPr>
            <w:r>
              <w:rPr>
                <w:rFonts w:ascii="Arial" w:cs="Arial" w:eastAsia="Arial" w:hAnsi="Arial"/>
                <w:b/>
                <w:bCs/>
                <w:i w:val="false"/>
                <w:iCs w:val="false"/>
                <w:color w:val="000000"/>
                <w:sz w:val="15"/>
                <w:szCs w:val="15"/>
              </w:rPr>
              <w:t xml:space="preserve">T2</w:t>
            </w:r>
          </w:p>
        </w:tc>
        <w:tc>
          <w:tcPr>
            <w:tcW w:type="dxa" w:w="700"/>
            <w:tcBorders>
              <w:top w:val="single" w:color="B7C0CC" w:sz="2"/>
              <w:left w:val="single" w:color="B7C0CC" w:sz="2"/>
              <w:bottom w:val="single" w:color="B7C0CC" w:sz="2"/>
              <w:right w:val="single" w:color="B7C0CC" w:sz="2"/>
            </w:tcBorders>
            <w:shd w:fill="C6EFCE"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000000"/>
                <w:sz w:val="15"/>
                <w:szCs w:val="15"/>
              </w:rPr>
              <w:t xml:space="preserve">2</w:t>
            </w:r>
          </w:p>
        </w:tc>
        <w:tc>
          <w:tcPr>
            <w:tcW w:type="dxa" w:w="12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center"/>
            </w:pPr>
            <w:r>
              <w:rPr>
                <w:rFonts w:ascii="Arial" w:cs="Arial" w:eastAsia="Arial" w:hAnsi="Arial"/>
                <w:b w:val="false"/>
                <w:bCs w:val="false"/>
                <w:i w:val="false"/>
                <w:iCs w:val="false"/>
                <w:color w:val="000000"/>
                <w:sz w:val="14"/>
                <w:szCs w:val="14"/>
              </w:rPr>
              <w:t xml:space="preserve">PASS</w:t>
            </w:r>
          </w:p>
        </w:tc>
        <w:tc>
          <w:tcPr>
            <w:tcW w:type="dxa" w:w="32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Quotation Rev B, Cost Forecast P07, Risk Register RISK-044 and Change Register CHG-018 all state 10 working days and GBP 185,000, and reconcile to the same WBS, activity and CBS references. UP13 variance_to_accepted_finish_working_days confirms the 10-day slip against AP12.</w:t>
            </w:r>
          </w:p>
        </w:tc>
        <w:tc>
          <w:tcPr>
            <w:tcW w:type="dxa" w:w="24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None — no material conflict identified in the evidence supplied.</w:t>
            </w:r>
          </w:p>
        </w:tc>
        <w:tc>
          <w:tcPr>
            <w:tcW w:type="dxa" w:w="16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Sofia Khan</w:t>
            </w:r>
          </w:p>
        </w:tc>
      </w:tr>
      <w:tr>
        <w:tc>
          <w:tcPr>
            <w:tcW w:type="dxa" w:w="7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center"/>
            </w:pPr>
            <w:r>
              <w:rPr>
                <w:rFonts w:ascii="Arial" w:cs="Arial" w:eastAsia="Arial" w:hAnsi="Arial"/>
                <w:b/>
                <w:bCs/>
                <w:i w:val="false"/>
                <w:iCs w:val="false"/>
                <w:color w:val="000000"/>
                <w:sz w:val="15"/>
                <w:szCs w:val="15"/>
              </w:rPr>
              <w:t xml:space="preserve">T3</w:t>
            </w:r>
          </w:p>
        </w:tc>
        <w:tc>
          <w:tcPr>
            <w:tcW w:type="dxa" w:w="700"/>
            <w:tcBorders>
              <w:top w:val="single" w:color="B7C0CC" w:sz="2"/>
              <w:left w:val="single" w:color="B7C0CC" w:sz="2"/>
              <w:bottom w:val="single" w:color="B7C0CC" w:sz="2"/>
              <w:right w:val="single" w:color="B7C0CC" w:sz="2"/>
            </w:tcBorders>
            <w:shd w:fill="FFEB9C"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000000"/>
                <w:sz w:val="15"/>
                <w:szCs w:val="15"/>
              </w:rPr>
              <w:t xml:space="preserve">1</w:t>
            </w:r>
          </w:p>
        </w:tc>
        <w:tc>
          <w:tcPr>
            <w:tcW w:type="dxa" w:w="12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center"/>
            </w:pPr>
            <w:r>
              <w:rPr>
                <w:rFonts w:ascii="Arial" w:cs="Arial" w:eastAsia="Arial" w:hAnsi="Arial"/>
                <w:b w:val="false"/>
                <w:bCs w:val="false"/>
                <w:i w:val="false"/>
                <w:iCs w:val="false"/>
                <w:color w:val="000000"/>
                <w:sz w:val="14"/>
                <w:szCs w:val="14"/>
              </w:rPr>
              <w:t xml:space="preserve">BOUNDED LIMITATION</w:t>
            </w:r>
          </w:p>
        </w:tc>
        <w:tc>
          <w:tcPr>
            <w:tcW w:type="dxa" w:w="32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All objective route/clock dates in Route_Clock_Rules.csv are met or correctly pending-not-due (RC-EW, RC-00, RC-01, RC-02 complete; RC-03 due 11 April 2026, not overdue at the 31 March 2026 cut-off). However rule RC-02 is itself annotated ‘content still subject to NEC-05/NEC-10’: UP13 is linked to the quotation and shows the ten-working-day effect, but the evidence does not establish whether it constitutes the Clause 62.2 alterations to the Accepted Programme. This is a bounded, clearly owned limitation, not a missing record, overdue clock or unresolved Clause 64.1 trigger.</w:t>
            </w:r>
          </w:p>
        </w:tc>
        <w:tc>
          <w:tcPr>
            <w:tcW w:type="dxa" w:w="24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Bounded — does not block Project Manager review but should be confirmed before the RC-03 due date.</w:t>
            </w:r>
          </w:p>
        </w:tc>
        <w:tc>
          <w:tcPr>
            <w:tcW w:type="dxa" w:w="16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Elena Brooks (judgement) / Sofia Khan (evidence compilation)</w:t>
            </w:r>
          </w:p>
        </w:tc>
      </w:tr>
      <w:tr>
        <w:tc>
          <w:tcPr>
            <w:tcW w:type="dxa" w:w="7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center"/>
            </w:pPr>
            <w:r>
              <w:rPr>
                <w:rFonts w:ascii="Arial" w:cs="Arial" w:eastAsia="Arial" w:hAnsi="Arial"/>
                <w:b/>
                <w:bCs/>
                <w:i w:val="false"/>
                <w:iCs w:val="false"/>
                <w:color w:val="000000"/>
                <w:sz w:val="15"/>
                <w:szCs w:val="15"/>
              </w:rPr>
              <w:t xml:space="preserve">T4</w:t>
            </w:r>
          </w:p>
        </w:tc>
        <w:tc>
          <w:tcPr>
            <w:tcW w:type="dxa" w:w="700"/>
            <w:tcBorders>
              <w:top w:val="single" w:color="B7C0CC" w:sz="2"/>
              <w:left w:val="single" w:color="B7C0CC" w:sz="2"/>
              <w:bottom w:val="single" w:color="B7C0CC" w:sz="2"/>
              <w:right w:val="single" w:color="B7C0CC" w:sz="2"/>
            </w:tcBorders>
            <w:shd w:fill="C6EFCE"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000000"/>
                <w:sz w:val="15"/>
                <w:szCs w:val="15"/>
              </w:rPr>
              <w:t xml:space="preserve">2</w:t>
            </w:r>
          </w:p>
        </w:tc>
        <w:tc>
          <w:tcPr>
            <w:tcW w:type="dxa" w:w="12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center"/>
            </w:pPr>
            <w:r>
              <w:rPr>
                <w:rFonts w:ascii="Arial" w:cs="Arial" w:eastAsia="Arial" w:hAnsi="Arial"/>
                <w:b w:val="false"/>
                <w:bCs w:val="false"/>
                <w:i w:val="false"/>
                <w:iCs w:val="false"/>
                <w:color w:val="000000"/>
                <w:sz w:val="14"/>
                <w:szCs w:val="14"/>
              </w:rPr>
              <w:t xml:space="preserve">PASS</w:t>
            </w:r>
          </w:p>
        </w:tc>
        <w:tc>
          <w:tcPr>
            <w:tcW w:type="dxa" w:w="32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Every evidence record and the requested output confirm that notification, quotation, review and decision actions sit with the named actors in Actor_Authority_Matrix.csv; the assistant has prepared cited evidence-status material only and has not notified, instructed, assessed, accepted or implemented CE-018.</w:t>
            </w:r>
          </w:p>
        </w:tc>
        <w:tc>
          <w:tcPr>
            <w:tcW w:type="dxa" w:w="24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None.</w:t>
            </w:r>
          </w:p>
        </w:tc>
        <w:tc>
          <w:tcPr>
            <w:tcW w:type="dxa" w:w="16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Sofia Khan</w:t>
            </w:r>
          </w:p>
        </w:tc>
      </w:tr>
    </w:tbl>
    <w:p>
      <w:pPr>
        <w:spacing w:after="60" w:before="60"/>
      </w:pPr>
      <w:r>
        <w:rPr>
          <w:rFonts w:ascii="Arial" w:cs="Arial" w:eastAsia="Arial" w:hAnsi="Arial"/>
          <w:b/>
          <w:bCs/>
          <w:color w:val="25395B"/>
          <w:sz w:val="16"/>
          <w:szCs w:val="16"/>
        </w:rPr>
        <w:t xml:space="preserve">Total score: 7 / 8. Critical-failure count: 0. Any score of 0 determines the route irrespective of the total score.</w:t>
      </w:r>
    </w:p>
    <w:p>
      <w:r>
        <w:br w:type="page"/>
      </w:r>
    </w:p>
    <w:p>
      <w:pPr>
        <w:shd w:fill="25395B" w:val="clear"/>
        <w:spacing w:after="80" w:before="160"/>
      </w:pPr>
      <w:r>
        <w:rPr>
          <w:rFonts w:ascii="Arial" w:cs="Arial" w:eastAsia="Arial" w:hAnsi="Arial"/>
          <w:b/>
          <w:bCs/>
          <w:color w:val="FFFFFF"/>
          <w:sz w:val="22"/>
          <w:szCs w:val="22"/>
        </w:rPr>
        <w:t xml:space="preserve">EXCEPTIONS, REQUIRED ACTIONS AND OWNERS</w:t>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2000"/>
        <w:gridCol w:w="1264"/>
        <w:gridCol w:w="2000"/>
      </w:tblGrid>
      <w:tr>
        <w:trPr>
          <w:tblHeader/>
        </w:trPr>
        <w:tc>
          <w:tcPr>
            <w:tcW w:type="dxa" w:w="800"/>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ID</w:t>
            </w:r>
          </w:p>
        </w:tc>
        <w:tc>
          <w:tcPr>
            <w:tcW w:type="dxa" w:w="3800"/>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Issue</w:t>
            </w:r>
          </w:p>
        </w:tc>
        <w:tc>
          <w:tcPr>
            <w:tcW w:type="dxa" w:w="2000"/>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Owner</w:t>
            </w:r>
          </w:p>
        </w:tc>
        <w:tc>
          <w:tcPr>
            <w:tcW w:type="dxa" w:w="1264"/>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Due</w:t>
            </w:r>
          </w:p>
        </w:tc>
        <w:tc>
          <w:tcPr>
            <w:tcW w:type="dxa" w:w="2000"/>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Retest</w:t>
            </w:r>
          </w:p>
        </w:tc>
      </w:tr>
      <w:tr>
        <w:tc>
          <w:tcPr>
            <w:tcW w:type="dxa" w:w="8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bCs/>
                <w:i w:val="false"/>
                <w:iCs w:val="false"/>
                <w:color w:val="000000"/>
                <w:sz w:val="14"/>
                <w:szCs w:val="14"/>
              </w:rPr>
              <w:t xml:space="preserve">EXC-01</w:t>
            </w:r>
          </w:p>
        </w:tc>
        <w:tc>
          <w:tcPr>
            <w:tcW w:type="dxa" w:w="38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UP13 is linked to the quotation and shows the ten-working-day effect; however, the evidence does not establish whether it constitutes the Clause 62.2 alterations to the Accepted Programme.</w:t>
            </w:r>
          </w:p>
        </w:tc>
        <w:tc>
          <w:tcPr>
            <w:tcW w:type="dxa" w:w="2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2"/>
                <w:szCs w:val="12"/>
              </w:rPr>
              <w:t xml:space="preserve">Elena Brooks (judgement) / Sofia Khan (evidence compilation)</w:t>
            </w:r>
          </w:p>
        </w:tc>
        <w:tc>
          <w:tcPr>
            <w:tcW w:type="dxa" w:w="12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2"/>
                <w:szCs w:val="12"/>
              </w:rPr>
              <w:t xml:space="preserve">2026-04-11 (aligned to RC-03 due date)</w:t>
            </w:r>
          </w:p>
        </w:tc>
        <w:tc>
          <w:tcPr>
            <w:tcW w:type="dxa" w:w="2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2"/>
                <w:szCs w:val="12"/>
              </w:rPr>
              <w:t xml:space="preserve">Re-run NEC-05, NEC-10 and T3 once the Project Manager confirms the position, or by the RC-03 due date if earlier.</w:t>
            </w:r>
          </w:p>
        </w:tc>
      </w:tr>
      <w:tr>
        <w:tc>
          <w:tcPr>
            <w:tcW w:type="dxa" w:w="8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bCs/>
                <w:i w:val="false"/>
                <w:iCs w:val="false"/>
                <w:color w:val="000000"/>
                <w:sz w:val="14"/>
                <w:szCs w:val="14"/>
              </w:rPr>
              <w:t xml:space="preserve">ACT-01</w:t>
            </w:r>
          </w:p>
        </w:tc>
        <w:tc>
          <w:tcPr>
            <w:tcW w:type="dxa" w:w="38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Project Manager response to Quotation Rev B</w:t>
            </w:r>
          </w:p>
        </w:tc>
        <w:tc>
          <w:tcPr>
            <w:tcW w:type="dxa" w:w="2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2"/>
                <w:szCs w:val="12"/>
              </w:rPr>
              <w:t xml:space="preserve">Elena Brooks</w:t>
            </w:r>
          </w:p>
        </w:tc>
        <w:tc>
          <w:tcPr>
            <w:tcW w:type="dxa" w:w="12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2"/>
                <w:szCs w:val="12"/>
              </w:rPr>
              <w:t xml:space="preserve">2026-04-11</w:t>
            </w:r>
          </w:p>
        </w:tc>
        <w:tc>
          <w:tcPr>
            <w:tcW w:type="dxa" w:w="2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2"/>
                <w:szCs w:val="12"/>
              </w:rPr>
              <w:t xml:space="preserve">Re-run T3 and NEC-07 at or after the due date.</w:t>
            </w:r>
          </w:p>
        </w:tc>
      </w:tr>
      <w:tr>
        <w:tc>
          <w:tcPr>
            <w:tcW w:type="dxa" w:w="8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bCs/>
                <w:i w:val="false"/>
                <w:iCs w:val="false"/>
                <w:color w:val="000000"/>
                <w:sz w:val="14"/>
                <w:szCs w:val="14"/>
              </w:rPr>
              <w:t xml:space="preserve">ACT-02</w:t>
            </w:r>
          </w:p>
        </w:tc>
        <w:tc>
          <w:tcPr>
            <w:tcW w:type="dxa" w:w="38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3"/>
                <w:szCs w:val="13"/>
              </w:rPr>
              <w:t xml:space="preserve">Change Register CHG-018 decision — currently ‘Not yet decided’</w:t>
            </w:r>
          </w:p>
        </w:tc>
        <w:tc>
          <w:tcPr>
            <w:tcW w:type="dxa" w:w="2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2"/>
                <w:szCs w:val="12"/>
              </w:rPr>
              <w:t xml:space="preserve">Elena Brooks</w:t>
            </w:r>
          </w:p>
        </w:tc>
        <w:tc>
          <w:tcPr>
            <w:tcW w:type="dxa" w:w="12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2"/>
                <w:szCs w:val="12"/>
              </w:rPr>
              <w:t xml:space="preserve">2026-04-02</w:t>
            </w:r>
          </w:p>
        </w:tc>
        <w:tc>
          <w:tcPr>
            <w:tcW w:type="dxa" w:w="2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2"/>
                <w:szCs w:val="12"/>
              </w:rPr>
              <w:t xml:space="preserve">Update Change Register on decision; re-run T2 cross-record reconciliation if the decision alters cost or schedule figures.</w:t>
            </w:r>
          </w:p>
        </w:tc>
      </w:tr>
    </w:tbl>
    <w:p>
      <w:pPr>
        <w:spacing w:after="60" w:before="60"/>
      </w:pPr>
      <w:r>
        <w:rPr>
          <w:rFonts w:ascii="Arial" w:cs="Arial" w:eastAsia="Arial" w:hAnsi="Arial"/>
          <w:i/>
          <w:iCs/>
          <w:color w:val="754887"/>
          <w:sz w:val="13"/>
          <w:szCs w:val="13"/>
        </w:rPr>
        <w:t xml:space="preserve">Administrative observations (non-actionable): Early warning EW-006 was recorded one working day after the initial risk email (24→25 Feb 2026). RC-EW criticality is Major, not Critical; the basis note reserves the promptness judgement to the Project Manager. • Route_Clock_Rules.csv does not configure a distinct Clause 61.3 notification time-bar period for this demonstration. The CE-018 notification (05 Mar) followed the access restriction confirmation (04 Mar) by one day, well inside any customary period. • UP13's data date (20 Mar 2026) precedes the Quotation Rev B submission date (28 Mar 2026) by 8 days. It is the most recent controlled update in the S1 evidence pack.</w:t>
      </w:r>
    </w:p>
    <w:p>
      <w:pPr>
        <w:shd w:fill="754887" w:val="clear"/>
        <w:spacing w:after="80" w:before="140"/>
      </w:pPr>
      <w:r>
        <w:rPr>
          <w:rFonts w:ascii="Arial" w:cs="Arial" w:eastAsia="Arial" w:hAnsi="Arial"/>
          <w:b/>
          <w:bCs/>
          <w:color w:val="FFFFFF"/>
          <w:sz w:val="22"/>
          <w:szCs w:val="22"/>
        </w:rPr>
        <w:t xml:space="preserve">DECISION ROUTE AND RETEST REQUIREMENTS</w:t>
      </w:r>
    </w:p>
    <w:p>
      <w:pPr>
        <w:pStyle w:val="ListParagraph"/>
        <w:numPr>
          <w:ilvl w:val="0"/>
          <w:numId w:val="2"/>
        </w:numPr>
        <w:spacing w:after="40"/>
      </w:pPr>
      <w:r>
        <w:rPr>
          <w:rFonts w:ascii="Arial" w:cs="Arial" w:eastAsia="Arial" w:hAnsi="Arial"/>
          <w:sz w:val="17"/>
          <w:szCs w:val="17"/>
        </w:rPr>
        <w:t xml:space="preserve">Four-Test Result: T1=2, T2=2, T3=1, T4=2 (Total 7/8; 0 critical failures).</w:t>
      </w:r>
    </w:p>
    <w:p>
      <w:pPr>
        <w:pStyle w:val="ListParagraph"/>
        <w:numPr>
          <w:ilvl w:val="0"/>
          <w:numId w:val="2"/>
        </w:numPr>
        <w:spacing w:after="40"/>
      </w:pPr>
      <w:r>
        <w:rPr>
          <w:rFonts w:ascii="Arial" w:cs="Arial" w:eastAsia="Arial" w:hAnsi="Arial"/>
          <w:sz w:val="17"/>
          <w:szCs w:val="17"/>
        </w:rPr>
        <w:t xml:space="preserve">Configured NEC4 Process-Assurance Result: CONFIGURED NEC4 PROCESS CONTROLS SATISFIED WITH CONDITIONS.</w:t>
      </w:r>
    </w:p>
    <w:p>
      <w:pPr>
        <w:pStyle w:val="ListParagraph"/>
        <w:numPr>
          <w:ilvl w:val="0"/>
          <w:numId w:val="2"/>
        </w:numPr>
        <w:spacing w:after="40"/>
      </w:pPr>
      <w:r>
        <w:rPr>
          <w:rFonts w:ascii="Arial" w:cs="Arial" w:eastAsia="Arial" w:hAnsi="Arial"/>
          <w:sz w:val="17"/>
          <w:szCs w:val="17"/>
        </w:rPr>
        <w:t xml:space="preserve">Decision-Readiness Route: READY WITH CONDITIONS.</w:t>
      </w:r>
    </w:p>
    <w:p>
      <w:pPr>
        <w:spacing w:after="20" w:before="60"/>
      </w:pPr>
      <w:r>
        <w:rPr>
          <w:rFonts w:ascii="Arial" w:cs="Arial" w:eastAsia="Arial" w:hAnsi="Arial"/>
          <w:b/>
          <w:bCs/>
          <w:color w:val="754887"/>
          <w:sz w:val="15"/>
          <w:szCs w:val="15"/>
        </w:rPr>
        <w:t xml:space="preserve">Clause 64.1 Intervention Triggers (reported separately):</w:t>
      </w:r>
    </w:p>
    <w:p>
      <w:pPr>
        <w:pStyle w:val="ListParagraph"/>
        <w:numPr>
          <w:ilvl w:val="0"/>
          <w:numId w:val="2"/>
        </w:numPr>
        <w:spacing w:after="40"/>
      </w:pPr>
      <w:r>
        <w:rPr>
          <w:rFonts w:ascii="Arial" w:cs="Arial" w:eastAsia="Arial" w:hAnsi="Arial"/>
          <w:sz w:val="15"/>
          <w:szCs w:val="15"/>
        </w:rPr>
        <w:t xml:space="preserve">Trigger 1 — Late or missing quotation (NEC-08): NOT_TRIGGERED — Quotation submitted 28 Mar 2026, within the RC-02 due date of 02 Apr 2026.</w:t>
      </w:r>
    </w:p>
    <w:p>
      <w:pPr>
        <w:pStyle w:val="ListParagraph"/>
        <w:numPr>
          <w:ilvl w:val="0"/>
          <w:numId w:val="2"/>
        </w:numPr>
        <w:spacing w:after="40"/>
      </w:pPr>
      <w:r>
        <w:rPr>
          <w:rFonts w:ascii="Arial" w:cs="Arial" w:eastAsia="Arial" w:hAnsi="Arial"/>
          <w:sz w:val="15"/>
          <w:szCs w:val="15"/>
        </w:rPr>
        <w:t xml:space="preserve">Trigger 2 — Incorrect assessment (NEC-09): PROJECT MANAGER JUDGEMENT — NO EVIDENCE DEFECT IDENTIFIED — cross-record reconciliation shows no unsupported or irreconcilable time/cost position in the evidence supplied.</w:t>
      </w:r>
    </w:p>
    <w:p>
      <w:pPr>
        <w:pStyle w:val="ListParagraph"/>
        <w:numPr>
          <w:ilvl w:val="0"/>
          <w:numId w:val="2"/>
        </w:numPr>
        <w:spacing w:after="40"/>
      </w:pPr>
      <w:r>
        <w:rPr>
          <w:rFonts w:ascii="Arial" w:cs="Arial" w:eastAsia="Arial" w:hAnsi="Arial"/>
          <w:sz w:val="15"/>
          <w:szCs w:val="15"/>
        </w:rPr>
        <w:t xml:space="preserve">Trigger 3 — Programme alteration missing (NEC-10): PROJECT MANAGER JUDGEMENT — UP13 is present and linked to the quotation submission, showing the ten-working-day effect.</w:t>
      </w:r>
    </w:p>
    <w:p>
      <w:pPr>
        <w:pStyle w:val="ListParagraph"/>
        <w:numPr>
          <w:ilvl w:val="0"/>
          <w:numId w:val="2"/>
        </w:numPr>
        <w:spacing w:after="40"/>
      </w:pPr>
      <w:r>
        <w:rPr>
          <w:rFonts w:ascii="Arial" w:cs="Arial" w:eastAsia="Arial" w:hAnsi="Arial"/>
          <w:sz w:val="15"/>
          <w:szCs w:val="15"/>
        </w:rPr>
        <w:t xml:space="preserve">Trigger 4 — Latest programme not accepted (NEC-11): NOT_TRIGGERED — AP12 is confirmed as the Accepted Programme; no non-acceptance record for a later programme submission is present.</w:t>
      </w:r>
    </w:p>
    <w:p>
      <w:pPr>
        <w:spacing w:after="60" w:before="40"/>
      </w:pPr>
      <w:r>
        <w:rPr>
          <w:rFonts w:ascii="Arial" w:cs="Arial" w:eastAsia="Arial" w:hAnsi="Arial"/>
          <w:i/>
          <w:iCs/>
          <w:color w:val="754887"/>
          <w:sz w:val="14"/>
          <w:szCs w:val="14"/>
        </w:rPr>
        <w:t xml:space="preserve">No Clause 64.1 trigger is evidenced as definitively activated. Triggers 2 and 3 remain subject to Project Manager judgement.</w:t>
      </w:r>
    </w:p>
    <w:p>
      <w:pPr>
        <w:spacing w:after="60" w:before="0"/>
      </w:pPr>
      <w:r>
        <w:rPr>
          <w:rFonts w:ascii="Arial" w:cs="Arial" w:eastAsia="Arial" w:hAnsi="Arial"/>
          <w:i/>
          <w:iCs/>
          <w:color w:val="444444"/>
          <w:sz w:val="12"/>
          <w:szCs w:val="12"/>
        </w:rPr>
        <w:t xml:space="preserve">NEC guidance: programme alterations must accompany a quotation where remaining work is affected, and their absence may require a Project Manager assessment. See NEC guidance on compensation-event assessments: https://www.neccontract.com/news/when-and-why-nec-project-managers-have-to-assess-compensation-events</w:t>
      </w:r>
    </w:p>
    <w:p>
      <w:pPr>
        <w:shd w:fill="25395B" w:val="clear"/>
        <w:spacing w:after="80" w:before="100"/>
      </w:pPr>
      <w:r>
        <w:rPr>
          <w:rFonts w:ascii="Arial" w:cs="Arial" w:eastAsia="Arial" w:hAnsi="Arial"/>
          <w:b/>
          <w:bCs/>
          <w:color w:val="FFFFFF"/>
          <w:sz w:val="22"/>
          <w:szCs w:val="22"/>
        </w:rPr>
        <w:t xml:space="preserve">RETAINED HUMAN AUTHORITY</w:t>
      </w:r>
    </w:p>
    <w:p>
      <w:pPr>
        <w:spacing w:after="60" w:before="0"/>
      </w:pPr>
      <w:r>
        <w:rPr>
          <w:rFonts w:ascii="Arial" w:cs="Arial" w:eastAsia="Arial" w:hAnsi="Arial"/>
          <w:sz w:val="17"/>
          <w:szCs w:val="17"/>
        </w:rPr>
        <w:t xml:space="preserve">The CE-018 Project Controls Assurance Assistant has extracted, linked, compared, cited and scored the registered Rev 3.0 Project Context files and the 12 S1 evidence files against the Four-Test Checklist and the NEC4 Decision-Readiness Control Matrix, and has prepared this cited assurance report, scorecard and result record. The assistant has not decided whether CE-018 is a compensation event, has not decided entitlement, has not decided that the Contractor's assessment is contractually correct, has not assessed, accepted or rejected the Quotation Rev B, and has not notified, instructed, certified, implemented or issued any contractual communication. One bounded exception (EXC-01) and two pending, not-overdue actions (ACT-01, ACT-02) remain open. Elena Brooks, NEC4 Project Manager, retains every contractual decision on CE-018.</w:t>
      </w:r>
    </w:p>
    <w:p>
      <w:pPr>
        <w:shd w:fill="754887" w:val="clear"/>
        <w:spacing w:after="80" w:before="140"/>
      </w:pPr>
      <w:r>
        <w:rPr>
          <w:rFonts w:ascii="Arial" w:cs="Arial" w:eastAsia="Arial" w:hAnsi="Arial"/>
          <w:b/>
          <w:bCs/>
          <w:color w:val="FFFFFF"/>
          <w:sz w:val="22"/>
          <w:szCs w:val="22"/>
        </w:rPr>
        <w:t xml:space="preserve">SOURCE REFERENCES</w:t>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000"/>
        <w:gridCol w:w="4964"/>
      </w:tblGrid>
      <w:tr>
        <w:trPr>
          <w:tblHeader/>
        </w:trPr>
        <w:tc>
          <w:tcPr>
            <w:tcW w:type="dxa" w:w="2600"/>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Filename</w:t>
            </w:r>
          </w:p>
        </w:tc>
        <w:tc>
          <w:tcPr>
            <w:tcW w:type="dxa" w:w="1300"/>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Record ID</w:t>
            </w:r>
          </w:p>
        </w:tc>
        <w:tc>
          <w:tcPr>
            <w:tcW w:type="dxa" w:w="1000"/>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Revision</w:t>
            </w:r>
          </w:p>
        </w:tc>
        <w:tc>
          <w:tcPr>
            <w:tcW w:type="dxa" w:w="4964"/>
            <w:tcBorders>
              <w:top w:val="single" w:color="B7C0CC" w:sz="2"/>
              <w:left w:val="single" w:color="B7C0CC" w:sz="2"/>
              <w:bottom w:val="single" w:color="B7C0CC" w:sz="2"/>
              <w:right w:val="single" w:color="B7C0CC" w:sz="2"/>
            </w:tcBorders>
            <w:shd w:fill="25395B" w:val="clear"/>
            <w:tcMar>
              <w:top w:type="dxa" w:w="40"/>
              <w:left w:type="dxa" w:w="60"/>
              <w:bottom w:type="dxa" w:w="40"/>
              <w:right w:type="dxa" w:w="60"/>
            </w:tcMar>
            <w:vAlign w:val="top"/>
          </w:tcPr>
          <w:p>
            <w:pPr>
              <w:spacing w:after="0"/>
              <w:jc w:val="center"/>
            </w:pPr>
            <w:r>
              <w:rPr>
                <w:rFonts w:ascii="Arial" w:cs="Arial" w:eastAsia="Arial" w:hAnsi="Arial"/>
                <w:b/>
                <w:bCs/>
                <w:i w:val="false"/>
                <w:iCs w:val="false"/>
                <w:color w:val="FFFFFF"/>
                <w:sz w:val="16"/>
                <w:szCs w:val="16"/>
              </w:rPr>
              <w:t xml:space="preserve">Purpose</w:t>
            </w:r>
          </w:p>
        </w:tc>
      </w:tr>
      <w:tr>
        <w:tc>
          <w:tcPr>
            <w:tcW w:type="dxa" w:w="26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Source_Register.csv</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SRC-001</w:t>
            </w:r>
          </w:p>
        </w:tc>
        <w:tc>
          <w:tcPr>
            <w:tcW w:type="dxa" w:w="1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3.0</w:t>
            </w:r>
          </w:p>
        </w:tc>
        <w:tc>
          <w:tcPr>
            <w:tcW w:type="dxa" w:w="49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Source register</w:t>
            </w:r>
          </w:p>
        </w:tc>
      </w:tr>
      <w:tr>
        <w:tc>
          <w:tcPr>
            <w:tcW w:type="dxa" w:w="26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CE018_Control_Brief.txt</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CTRL-001</w:t>
            </w:r>
          </w:p>
        </w:tc>
        <w:tc>
          <w:tcPr>
            <w:tcW w:type="dxa" w:w="1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3.0</w:t>
            </w:r>
          </w:p>
        </w:tc>
        <w:tc>
          <w:tcPr>
            <w:tcW w:type="dxa" w:w="49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Control brief</w:t>
            </w:r>
          </w:p>
        </w:tc>
      </w:tr>
      <w:tr>
        <w:tc>
          <w:tcPr>
            <w:tcW w:type="dxa" w:w="26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Actor_Authority_Matrix.csv</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CTRL-002</w:t>
            </w:r>
          </w:p>
        </w:tc>
        <w:tc>
          <w:tcPr>
            <w:tcW w:type="dxa" w:w="1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2.1</w:t>
            </w:r>
          </w:p>
        </w:tc>
        <w:tc>
          <w:tcPr>
            <w:tcW w:type="dxa" w:w="49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Authority matrix</w:t>
            </w:r>
          </w:p>
        </w:tc>
      </w:tr>
      <w:tr>
        <w:tc>
          <w:tcPr>
            <w:tcW w:type="dxa" w:w="26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Route_Clock_Rules.csv</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CTRL-003</w:t>
            </w:r>
          </w:p>
        </w:tc>
        <w:tc>
          <w:tcPr>
            <w:tcW w:type="dxa" w:w="1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3.0</w:t>
            </w:r>
          </w:p>
        </w:tc>
        <w:tc>
          <w:tcPr>
            <w:tcW w:type="dxa" w:w="49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Route and clock rules</w:t>
            </w:r>
          </w:p>
        </w:tc>
      </w:tr>
      <w:tr>
        <w:tc>
          <w:tcPr>
            <w:tcW w:type="dxa" w:w="26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Four_Test_Checklist.csv</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CTRL-005</w:t>
            </w:r>
          </w:p>
        </w:tc>
        <w:tc>
          <w:tcPr>
            <w:tcW w:type="dxa" w:w="1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3.0</w:t>
            </w:r>
          </w:p>
        </w:tc>
        <w:tc>
          <w:tcPr>
            <w:tcW w:type="dxa" w:w="49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Assurance checklist</w:t>
            </w:r>
          </w:p>
        </w:tc>
      </w:tr>
      <w:tr>
        <w:tc>
          <w:tcPr>
            <w:tcW w:type="dxa" w:w="26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Expected_Response_Structure.txt</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CTRL-006</w:t>
            </w:r>
          </w:p>
        </w:tc>
        <w:tc>
          <w:tcPr>
            <w:tcW w:type="dxa" w:w="1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3.0</w:t>
            </w:r>
          </w:p>
        </w:tc>
        <w:tc>
          <w:tcPr>
            <w:tcW w:type="dxa" w:w="49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Response structure</w:t>
            </w:r>
          </w:p>
        </w:tc>
      </w:tr>
      <w:tr>
        <w:tc>
          <w:tcPr>
            <w:tcW w:type="dxa" w:w="26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NEC4_Decision_Readiness_Control_Matrix.csv</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CTRL-007</w:t>
            </w:r>
          </w:p>
        </w:tc>
        <w:tc>
          <w:tcPr>
            <w:tcW w:type="dxa" w:w="1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1.0</w:t>
            </w:r>
          </w:p>
        </w:tc>
        <w:tc>
          <w:tcPr>
            <w:tcW w:type="dxa" w:w="49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NEC4 control matrix</w:t>
            </w:r>
          </w:p>
        </w:tc>
      </w:tr>
      <w:tr>
        <w:tc>
          <w:tcPr>
            <w:tcW w:type="dxa" w:w="26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WBS_Hierarchy.csv</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WBS-001</w:t>
            </w:r>
          </w:p>
        </w:tc>
        <w:tc>
          <w:tcPr>
            <w:tcW w:type="dxa" w:w="1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1.0</w:t>
            </w:r>
          </w:p>
        </w:tc>
        <w:tc>
          <w:tcPr>
            <w:tcW w:type="dxa" w:w="49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WBS</w:t>
            </w:r>
          </w:p>
        </w:tc>
      </w:tr>
      <w:tr>
        <w:tc>
          <w:tcPr>
            <w:tcW w:type="dxa" w:w="26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CBS_Hierarchy.csv</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CBS-001</w:t>
            </w:r>
          </w:p>
        </w:tc>
        <w:tc>
          <w:tcPr>
            <w:tcW w:type="dxa" w:w="1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1.0</w:t>
            </w:r>
          </w:p>
        </w:tc>
        <w:tc>
          <w:tcPr>
            <w:tcW w:type="dxa" w:w="49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CBS</w:t>
            </w:r>
          </w:p>
        </w:tc>
      </w:tr>
      <w:tr>
        <w:tc>
          <w:tcPr>
            <w:tcW w:type="dxa" w:w="26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CE018_WBS_Programme_CBS_Crosswalk.csv</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XWALK-001</w:t>
            </w:r>
          </w:p>
        </w:tc>
        <w:tc>
          <w:tcPr>
            <w:tcW w:type="dxa" w:w="1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1.0</w:t>
            </w:r>
          </w:p>
        </w:tc>
        <w:tc>
          <w:tcPr>
            <w:tcW w:type="dxa" w:w="49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Crosswalk</w:t>
            </w:r>
          </w:p>
        </w:tc>
      </w:tr>
      <w:tr>
        <w:tc>
          <w:tcPr>
            <w:tcW w:type="dxa" w:w="26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CE018_Event_Record.csv</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CASE-001</w:t>
            </w:r>
          </w:p>
        </w:tc>
        <w:tc>
          <w:tcPr>
            <w:tcW w:type="dxa" w:w="1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1.1</w:t>
            </w:r>
          </w:p>
        </w:tc>
        <w:tc>
          <w:tcPr>
            <w:tcW w:type="dxa" w:w="49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Event record</w:t>
            </w:r>
          </w:p>
        </w:tc>
      </w:tr>
      <w:tr>
        <w:tc>
          <w:tcPr>
            <w:tcW w:type="dxa" w:w="26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Email_01_Access_Risk_2026-02-24.eml</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CORR-001</w:t>
            </w:r>
          </w:p>
        </w:tc>
        <w:tc>
          <w:tcPr>
            <w:tcW w:type="dxa" w:w="1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1.0</w:t>
            </w:r>
          </w:p>
        </w:tc>
        <w:tc>
          <w:tcPr>
            <w:tcW w:type="dxa" w:w="49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Emerging operational access constraint</w:t>
            </w:r>
          </w:p>
        </w:tc>
      </w:tr>
      <w:tr>
        <w:tc>
          <w:tcPr>
            <w:tcW w:type="dxa" w:w="26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Email_02_EW006_2026-02-25.eml</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EW-006</w:t>
            </w:r>
          </w:p>
        </w:tc>
        <w:tc>
          <w:tcPr>
            <w:tcW w:type="dxa" w:w="1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1.0</w:t>
            </w:r>
          </w:p>
        </w:tc>
        <w:tc>
          <w:tcPr>
            <w:tcW w:type="dxa" w:w="49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Separate early-warning record concerning the same access issue</w:t>
            </w:r>
          </w:p>
        </w:tc>
      </w:tr>
      <w:tr>
        <w:tc>
          <w:tcPr>
            <w:tcW w:type="dxa" w:w="26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Email_03_Access_Restriction_2026-03-04.eml</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ACC-004</w:t>
            </w:r>
          </w:p>
        </w:tc>
        <w:tc>
          <w:tcPr>
            <w:tcW w:type="dxa" w:w="1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1.0</w:t>
            </w:r>
          </w:p>
        </w:tc>
        <w:tc>
          <w:tcPr>
            <w:tcW w:type="dxa" w:w="49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Planned versus actual access</w:t>
            </w:r>
          </w:p>
        </w:tc>
      </w:tr>
      <w:tr>
        <w:tc>
          <w:tcPr>
            <w:tcW w:type="dxa" w:w="26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Email_04_CE018_Notification_2026-03-05.eml</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CE-018 (email)</w:t>
            </w:r>
          </w:p>
        </w:tc>
        <w:tc>
          <w:tcPr>
            <w:tcW w:type="dxa" w:w="1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1.0</w:t>
            </w:r>
          </w:p>
        </w:tc>
        <w:tc>
          <w:tcPr>
            <w:tcW w:type="dxa" w:w="49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Contractor notification concerning restricted access</w:t>
            </w:r>
          </w:p>
        </w:tc>
      </w:tr>
      <w:tr>
        <w:tc>
          <w:tcPr>
            <w:tcW w:type="dxa" w:w="26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Email_05_PM_Response_2026-03-12.eml</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PMR-018</w:t>
            </w:r>
          </w:p>
        </w:tc>
        <w:tc>
          <w:tcPr>
            <w:tcW w:type="dxa" w:w="1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1.0</w:t>
            </w:r>
          </w:p>
        </w:tc>
        <w:tc>
          <w:tcPr>
            <w:tcW w:type="dxa" w:w="49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Project Manager response and quotation request</w:t>
            </w:r>
          </w:p>
        </w:tc>
      </w:tr>
      <w:tr>
        <w:tc>
          <w:tcPr>
            <w:tcW w:type="dxa" w:w="26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Email_06_Quotation_Submission_2026-03-28.eml</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QSUB-018</w:t>
            </w:r>
          </w:p>
        </w:tc>
        <w:tc>
          <w:tcPr>
            <w:tcW w:type="dxa" w:w="1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1.0</w:t>
            </w:r>
          </w:p>
        </w:tc>
        <w:tc>
          <w:tcPr>
            <w:tcW w:type="dxa" w:w="49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Submission route and accompanying-record references</w:t>
            </w:r>
          </w:p>
        </w:tc>
      </w:tr>
      <w:tr>
        <w:tc>
          <w:tcPr>
            <w:tcW w:type="dxa" w:w="26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P6_Activity_Export_AP12.csv</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PROG-AP12</w:t>
            </w:r>
          </w:p>
        </w:tc>
        <w:tc>
          <w:tcPr>
            <w:tcW w:type="dxa" w:w="1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AP12</w:t>
            </w:r>
          </w:p>
        </w:tc>
        <w:tc>
          <w:tcPr>
            <w:tcW w:type="dxa" w:w="49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What was planned at the event date</w:t>
            </w:r>
          </w:p>
        </w:tc>
      </w:tr>
      <w:tr>
        <w:tc>
          <w:tcPr>
            <w:tcW w:type="dxa" w:w="26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P6_Activity_Export_UP13.csv</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PROG-UP13</w:t>
            </w:r>
          </w:p>
        </w:tc>
        <w:tc>
          <w:tcPr>
            <w:tcW w:type="dxa" w:w="1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UP13</w:t>
            </w:r>
          </w:p>
        </w:tc>
        <w:tc>
          <w:tcPr>
            <w:tcW w:type="dxa" w:w="49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Actual access and current forecast (required for S1)</w:t>
            </w:r>
          </w:p>
        </w:tc>
      </w:tr>
      <w:tr>
        <w:tc>
          <w:tcPr>
            <w:tcW w:type="dxa" w:w="26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CE018_Quotation_RevB.csv</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QUOT-CE018-REVB</w:t>
            </w:r>
          </w:p>
        </w:tc>
        <w:tc>
          <w:tcPr>
            <w:tcW w:type="dxa" w:w="1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B</w:t>
            </w:r>
          </w:p>
        </w:tc>
        <w:tc>
          <w:tcPr>
            <w:tcW w:type="dxa" w:w="49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Quotation assessment details by WBS, activity and CBS</w:t>
            </w:r>
          </w:p>
        </w:tc>
      </w:tr>
      <w:tr>
        <w:tc>
          <w:tcPr>
            <w:tcW w:type="dxa" w:w="26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Cost_Forecast_P07.csv</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FCST-P07</w:t>
            </w:r>
          </w:p>
        </w:tc>
        <w:tc>
          <w:tcPr>
            <w:tcW w:type="dxa" w:w="1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P07</w:t>
            </w:r>
          </w:p>
        </w:tc>
        <w:tc>
          <w:tcPr>
            <w:tcW w:type="dxa" w:w="49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Base forecast agreeing with Quotation Rev B (required for S1)</w:t>
            </w:r>
          </w:p>
        </w:tc>
      </w:tr>
      <w:tr>
        <w:tc>
          <w:tcPr>
            <w:tcW w:type="dxa" w:w="26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Risk_Register.csv</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RISK-044</w:t>
            </w:r>
          </w:p>
        </w:tc>
        <w:tc>
          <w:tcPr>
            <w:tcW w:type="dxa" w:w="1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7</w:t>
            </w:r>
          </w:p>
        </w:tc>
        <w:tc>
          <w:tcPr>
            <w:tcW w:type="dxa" w:w="49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Base risk record (required for S1)</w:t>
            </w:r>
          </w:p>
        </w:tc>
      </w:tr>
      <w:tr>
        <w:tc>
          <w:tcPr>
            <w:tcW w:type="dxa" w:w="26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Change_Register.csv</w:t>
            </w:r>
          </w:p>
        </w:tc>
        <w:tc>
          <w:tcPr>
            <w:tcW w:type="dxa" w:w="13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CHG-018</w:t>
            </w:r>
          </w:p>
        </w:tc>
        <w:tc>
          <w:tcPr>
            <w:tcW w:type="dxa" w:w="1000"/>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5</w:t>
            </w:r>
          </w:p>
        </w:tc>
        <w:tc>
          <w:tcPr>
            <w:tcW w:type="dxa" w:w="4964"/>
            <w:tcBorders>
              <w:top w:val="single" w:color="B7C0CC" w:sz="2"/>
              <w:left w:val="single" w:color="B7C0CC" w:sz="2"/>
              <w:bottom w:val="single" w:color="B7C0CC" w:sz="2"/>
              <w:right w:val="single" w:color="B7C0CC" w:sz="2"/>
            </w:tcBorders>
            <w:tcMar>
              <w:top w:type="dxa" w:w="40"/>
              <w:left w:type="dxa" w:w="60"/>
              <w:bottom w:type="dxa" w:w="40"/>
              <w:right w:type="dxa" w:w="60"/>
            </w:tcMar>
            <w:vAlign w:val="top"/>
          </w:tcPr>
          <w:p>
            <w:pPr>
              <w:spacing w:after="0"/>
              <w:jc w:val="left"/>
            </w:pPr>
            <w:r>
              <w:rPr>
                <w:rFonts w:ascii="Arial" w:cs="Arial" w:eastAsia="Arial" w:hAnsi="Arial"/>
                <w:b w:val="false"/>
                <w:bCs w:val="false"/>
                <w:i w:val="false"/>
                <w:iCs w:val="false"/>
                <w:color w:val="000000"/>
                <w:sz w:val="11"/>
                <w:szCs w:val="11"/>
              </w:rPr>
              <w:t xml:space="preserve">Status, owner, next action and expected effect</w:t>
            </w:r>
          </w:p>
        </w:tc>
      </w:tr>
    </w:tbl>
    <w:sectPr>
      <w:headerReference w:type="default" r:id="rId7"/>
      <w:footerReference w:type="default" r:id="rId8"/>
      <w:pgSz w:w="11906" w:h="16838" w:orient="portrait"/>
      <w:pgMar w:top="1021"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8A6D4" w:sz="4" w:space="4"/>
      </w:pBdr>
      <w:tabs>
        <w:tab w:val="right" w:pos="9026"/>
      </w:tabs>
    </w:pPr>
    <w:r>
      <w:rPr>
        <w:rFonts w:ascii="Arial" w:cs="Arial" w:eastAsia="Arial" w:hAnsi="Arial"/>
        <w:color w:val="444444"/>
        <w:sz w:val="14"/>
        <w:szCs w:val="14"/>
      </w:rPr>
      <w:t xml:space="preserve">WSAE | CE-018 | Rev 3.0 | Cut-off 2026-03-31</w:t>
    </w:r>
    <w:r>
      <w:rPr>
        <w:rFonts w:ascii="Arial" w:cs="Arial" w:eastAsia="Arial" w:hAnsi="Arial"/>
      </w:rPr>
      <w:t xml:space="preserve">	</w:t>
    </w:r>
    <w:r>
      <w:rPr>
        <w:rFonts w:ascii="Arial" w:cs="Arial" w:eastAsia="Arial" w:hAnsi="Arial"/>
        <w:color w:val="444444"/>
        <w:sz w:val="14"/>
        <w:szCs w:val="14"/>
      </w:rPr>
      <w:t xml:space="preserve">Page </w:t>
    </w:r>
    <w:r>
      <w:rPr>
        <w:rFonts w:ascii="Arial" w:cs="Arial" w:eastAsia="Arial" w:hAnsi="Arial"/>
        <w:color w:val="444444"/>
        <w:sz w:val="14"/>
        <w:szCs w:val="14"/>
      </w:rPr>
      <w:fldChar w:fldCharType="begin"/>
      <w:instrText xml:space="preserve">PAGE</w:instrText>
      <w:fldChar w:fldCharType="separate"/>
      <w:fldChar w:fldCharType="end"/>
    </w:r>
    <w:r>
      <w:rPr>
        <w:rFonts w:ascii="Arial" w:cs="Arial" w:eastAsia="Arial" w:hAnsi="Arial"/>
        <w:color w:val="444444"/>
        <w:sz w:val="14"/>
        <w:szCs w:val="14"/>
      </w:rPr>
      <w:t xml:space="preserve"> of </w:t>
    </w:r>
    <w:r>
      <w:rPr>
        <w:rFonts w:ascii="Arial" w:cs="Arial" w:eastAsia="Arial" w:hAnsi="Arial"/>
        <w:color w:val="444444"/>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A6D4" w:sz="4" w:space="4"/>
      </w:pBdr>
      <w:jc w:val="right"/>
    </w:pPr>
    <w:r>
      <w:rPr>
        <w:rFonts w:ascii="Arial" w:cs="Arial" w:eastAsia="Arial" w:hAnsi="Arial"/>
        <w:i/>
        <w:iCs/>
        <w:color w:val="754887"/>
        <w:sz w:val="14"/>
        <w:szCs w:val="14"/>
      </w:rPr>
      <w:t xml:space="preserve">CE-018 Project Controls Assurance Report — Fictional Demonstration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7a23cff298ea4cbf1e0f9eb2152c4c57407d68.png"/><Relationship Id="rId10" Type="http://schemas.openxmlformats.org/officeDocument/2006/relationships/image" Target="media/d2356d30661abbe22e30e5c876f50df248771d94.png"/><Relationship Id="rId11" Type="http://schemas.openxmlformats.org/officeDocument/2006/relationships/image" Target="media/62f8a035cc2b3704f22a77fd0d94d4b6d3fe5ffb.png"/><Relationship Id="rId12" Type="http://schemas.openxmlformats.org/officeDocument/2006/relationships/image" Target="media/b62238188bd421343de035c89a00e58b65f1d62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2026-08-22T15:28:12.811Z</dcterms:created>
  <dcterms:modified xsi:type="dcterms:W3CDTF">2026-08-22T15:28:12.811Z</dcterms:modified>
</cp:coreProperties>
</file>

<file path=docProps/custom.xml><?xml version="1.0" encoding="utf-8"?>
<Properties xmlns="http://schemas.openxmlformats.org/officeDocument/2006/custom-properties" xmlns:vt="http://schemas.openxmlformats.org/officeDocument/2006/docPropsVTypes"/>
</file>