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819"/>
        <w:gridCol w:w="4819"/>
      </w:tblGrid>
      <w:tr>
        <w:tc>
          <w:tcPr>
            <w:tcW w:type="dxa" w:w="4819"/>
            <w:tcBorders>
              <w:top w:val="none" w:sz="0"/>
              <w:left w:val="none" w:sz="0"/>
              <w:bottom w:val="none" w:sz="0"/>
              <w:right w:val="none" w:sz="0"/>
            </w:tcBorders>
            <w:tcMar>
              <w:top w:type="dxa" w:w="0"/>
              <w:left w:type="dxa" w:w="0"/>
              <w:bottom w:type="dxa" w:w="0"/>
              <w:right w:type="dxa" w:w="0"/>
            </w:tcMar>
          </w:tcPr>
          <w:p>
            <w:pPr>
              <w:jc w:val="left"/>
            </w:pPr>
            <w:r>
              <w:drawing>
                <wp:inline distT="0" distB="0" distL="0" distR="0">
                  <wp:extent cx="2000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533400"/>
                          </a:xfrm>
                          <a:prstGeom prst="rect">
                            <a:avLst/>
                          </a:prstGeom>
                        </pic:spPr>
                      </pic:pic>
                    </a:graphicData>
                  </a:graphic>
                </wp:inline>
              </w:drawing>
            </w:r>
          </w:p>
        </w:tc>
        <w:tc>
          <w:tcPr>
            <w:tcW w:type="dxa" w:w="4819"/>
            <w:tcBorders>
              <w:top w:val="none" w:sz="0"/>
              <w:left w:val="none" w:sz="0"/>
              <w:bottom w:val="none" w:sz="0"/>
              <w:right w:val="none" w:sz="0"/>
            </w:tcBorders>
            <w:tcMar>
              <w:top w:type="dxa" w:w="0"/>
              <w:left w:type="dxa" w:w="0"/>
              <w:bottom w:type="dxa" w:w="0"/>
              <w:right w:type="dxa" w:w="0"/>
            </w:tcMar>
          </w:tcPr>
          <w:p>
            <w:pPr>
              <w:jc w:val="right"/>
            </w:pPr>
            <w:r>
              <w:drawing>
                <wp:inline distT="0" distB="0" distL="0" distR="0">
                  <wp:extent cx="2095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14350"/>
                          </a:xfrm>
                          <a:prstGeom prst="rect">
                            <a:avLst/>
                          </a:prstGeom>
                        </pic:spPr>
                      </pic:pic>
                    </a:graphicData>
                  </a:graphic>
                </wp:inline>
              </w:drawing>
            </w:r>
          </w:p>
        </w:tc>
      </w:tr>
    </w:tbl>
    <w:p>
      <w:pPr>
        <w:pBdr>
          <w:bottom w:val="single" w:color="08A6D4" w:sz="18" w:space="2"/>
        </w:pBdr>
        <w:spacing w:after="160" w:before="80"/>
      </w:pPr>
      <w:r>
        <w:rPr>
          <w:rFonts w:ascii="Arial" w:cs="Arial" w:eastAsia="Arial" w:hAnsi="Arial"/>
          <w:sz w:val="2"/>
          <w:szCs w:val="2"/>
        </w:rPr>
        <w:t xml:space="preserve"/>
      </w:r>
    </w:p>
    <w:p>
      <w:pPr>
        <w:spacing w:after="60" w:before="0"/>
        <w:jc w:val="left"/>
      </w:pPr>
      <w:r>
        <w:rPr>
          <w:rFonts w:ascii="Arial" w:cs="Arial" w:eastAsia="Arial" w:hAnsi="Arial"/>
          <w:b/>
          <w:bCs/>
          <w:i w:val="false"/>
          <w:iCs w:val="false"/>
          <w:color w:val="08A6D4"/>
          <w:sz w:val="20"/>
          <w:szCs w:val="20"/>
        </w:rPr>
        <w:t xml:space="preserve">CE018-SP-01</w:t>
      </w:r>
    </w:p>
    <w:p>
      <w:pPr>
        <w:spacing w:after="80" w:before="0"/>
        <w:jc w:val="left"/>
      </w:pPr>
      <w:r>
        <w:rPr>
          <w:rFonts w:ascii="Arial" w:cs="Arial" w:eastAsia="Arial" w:hAnsi="Arial"/>
          <w:b/>
          <w:bCs/>
          <w:i w:val="false"/>
          <w:iCs w:val="false"/>
          <w:color w:val="263858"/>
          <w:sz w:val="40"/>
          <w:szCs w:val="40"/>
        </w:rPr>
        <w:t xml:space="preserve">Use-Case and Controls Canvas</w:t>
      </w:r>
    </w:p>
    <w:p>
      <w:pPr>
        <w:spacing w:after="200" w:before="0"/>
        <w:jc w:val="left"/>
      </w:pPr>
      <w:r>
        <w:rPr>
          <w:rFonts w:ascii="Arial" w:cs="Arial" w:eastAsia="Arial" w:hAnsi="Arial"/>
          <w:b w:val="false"/>
          <w:bCs w:val="false"/>
          <w:i w:val="false"/>
          <w:iCs w:val="false"/>
          <w:color w:val="754887"/>
          <w:sz w:val="22"/>
          <w:szCs w:val="22"/>
        </w:rPr>
        <w:t xml:space="preserve">Stage 01 — Control uncertainty  |  Define one bounded AI-assisted task and the controls that hold it</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7038"/>
      </w:tblGrid>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Document reference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Template title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Use-Case and Controls Canvas</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Starter pack stage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01 — Control uncertainty</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Accountable owner</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Project Controls Lead (drafts) / NEC4 Project Manager or equivalent accountable decision owner (approves)</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Version</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v1.0</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Status</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TEMPLATE — CONFIGURE BEFORE USE (blank)  |  ISSUED FOR PROJECT MANAGER REVIEW (IFR) — NOT APPROVED (worked example)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Issue date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2026-03-31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Project</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Westbridge Station Access and Enabling Works (WSAE)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Worked example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 — Restricted access to the Platform 4 worksite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Classification</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Fictional Demonstration Data</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Previous template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None — this is the first template in the pack</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Next template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CE018-SP-02 Uncertainty and Dependency Register</w:t>
            </w:r>
          </w:p>
        </w:tc>
      </w:tr>
    </w:tbl>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human authority</w:t>
            </w:r>
          </w:p>
          <w:p>
            <w:pPr>
              <w:spacing w:after="40"/>
            </w:pPr>
            <w:r>
              <w:rPr>
                <w:rFonts w:ascii="Arial" w:cs="Arial" w:eastAsia="Arial" w:hAnsi="Arial"/>
                <w:color w:val="263858"/>
                <w:sz w:val="18"/>
                <w:szCs w:val="18"/>
              </w:rPr>
              <w:t xml:space="preserve">This template is configured Project Controls assurance support. It is not a contractual communication and it does not state NEC4 or legal compliance.</w:t>
            </w:r>
          </w:p>
          <w:p>
            <w:pPr>
              <w:spacing w:after="40"/>
            </w:pPr>
            <w:r>
              <w:rPr>
                <w:rFonts w:ascii="Arial" w:cs="Arial" w:eastAsia="Arial" w:hAnsi="Arial"/>
                <w:color w:val="263858"/>
                <w:sz w:val="18"/>
                <w:szCs w:val="18"/>
              </w:rPr>
              <w:t xml:space="preserve">In the CE-018 worked example, Elena Brooks, NEC4 Project Manager, retains every contractual decision. In your own use, name the relevant contractual role or accountable decision owner in place of Elena Brooks.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1. Purpose</w:t>
      </w:r>
    </w:p>
    <w:p>
      <w:pPr>
        <w:spacing w:after="100" w:before="0"/>
        <w:jc w:val="left"/>
      </w:pPr>
      <w:r>
        <w:rPr>
          <w:rFonts w:ascii="Arial" w:cs="Arial" w:eastAsia="Arial" w:hAnsi="Arial"/>
          <w:b w:val="false"/>
          <w:bCs w:val="false"/>
          <w:i w:val="false"/>
          <w:iCs w:val="false"/>
          <w:color w:val="263858"/>
          <w:sz w:val="20"/>
          <w:szCs w:val="20"/>
        </w:rPr>
        <w:t xml:space="preserve">The canvas records, on a single page, exactly what an AI-assisted Project Controls task is allowed to do, what decision it supports, which sources it may use, how its output will be tested and who keeps the decision. It converts a vague intention such as “help us with compensation events” into one bounded task with named controls.</w:t>
      </w:r>
    </w:p>
    <w:p>
      <w:pPr>
        <w:spacing w:after="100" w:before="0"/>
        <w:jc w:val="left"/>
      </w:pPr>
      <w:r>
        <w:rPr>
          <w:rFonts w:ascii="Arial" w:cs="Arial" w:eastAsia="Arial" w:hAnsi="Arial"/>
          <w:b w:val="false"/>
          <w:bCs w:val="false"/>
          <w:i w:val="false"/>
          <w:iCs w:val="false"/>
          <w:color w:val="263858"/>
          <w:sz w:val="20"/>
          <w:szCs w:val="20"/>
        </w:rPr>
        <w:t xml:space="preserve">A task that cannot be described inside this canvas is not yet controlled enough to run. That is the point of the template: it makes the boundary explicit before effort is spent, rather than after an output has been produced and has to be unpicked.</w:t>
      </w:r>
    </w:p>
    <w:p>
      <w:pPr>
        <w:pStyle w:val="Heading1"/>
        <w:pBdr>
          <w:bottom w:val="single" w:color="08A6D4" w:sz="12" w:space="4"/>
        </w:pBdr>
        <w:spacing w:after="140" w:before="320"/>
      </w:pPr>
      <w:r>
        <w:rPr>
          <w:rFonts w:ascii="Arial" w:cs="Arial" w:eastAsia="Arial" w:hAnsi="Arial"/>
          <w:b/>
          <w:bCs/>
          <w:color w:val="263858"/>
          <w:sz w:val="26"/>
          <w:szCs w:val="26"/>
        </w:rPr>
        <w:t xml:space="preserve">2. When to use this template</w:t>
      </w:r>
    </w:p>
    <w:p>
      <w:pPr>
        <w:pStyle w:val="ListParagraph"/>
        <w:numPr>
          <w:ilvl w:val="0"/>
          <w:numId w:val="2"/>
        </w:numPr>
        <w:spacing w:after="60"/>
      </w:pPr>
      <w:r>
        <w:rPr>
          <w:rFonts w:ascii="Arial" w:cs="Arial" w:eastAsia="Arial" w:hAnsi="Arial"/>
          <w:color w:val="263858"/>
          <w:sz w:val="20"/>
          <w:szCs w:val="20"/>
        </w:rPr>
        <w:t xml:space="preserve">Before any assistant is configured, prompted or given access to project records for a new task.</w:t>
      </w:r>
    </w:p>
    <w:p>
      <w:pPr>
        <w:pStyle w:val="ListParagraph"/>
        <w:numPr>
          <w:ilvl w:val="0"/>
          <w:numId w:val="2"/>
        </w:numPr>
        <w:spacing w:after="60"/>
      </w:pPr>
      <w:r>
        <w:rPr>
          <w:rFonts w:ascii="Arial" w:cs="Arial" w:eastAsia="Arial" w:hAnsi="Arial"/>
          <w:color w:val="263858"/>
          <w:sz w:val="20"/>
          <w:szCs w:val="20"/>
        </w:rPr>
        <w:t xml:space="preserve">When an existing manual task is proposed for AI support and the boundary has not previously been written down.</w:t>
      </w:r>
    </w:p>
    <w:p>
      <w:pPr>
        <w:pStyle w:val="ListParagraph"/>
        <w:numPr>
          <w:ilvl w:val="0"/>
          <w:numId w:val="2"/>
        </w:numPr>
        <w:spacing w:after="60"/>
      </w:pPr>
      <w:r>
        <w:rPr>
          <w:rFonts w:ascii="Arial" w:cs="Arial" w:eastAsia="Arial" w:hAnsi="Arial"/>
          <w:color w:val="263858"/>
          <w:sz w:val="20"/>
          <w:szCs w:val="20"/>
        </w:rPr>
        <w:t xml:space="preserve">When the decision owner, the approved sources or the permitted output of an existing task changes.</w:t>
      </w:r>
    </w:p>
    <w:p>
      <w:pPr>
        <w:pStyle w:val="ListParagraph"/>
        <w:numPr>
          <w:ilvl w:val="0"/>
          <w:numId w:val="2"/>
        </w:numPr>
        <w:spacing w:after="60"/>
      </w:pPr>
      <w:r>
        <w:rPr>
          <w:rFonts w:ascii="Arial" w:cs="Arial" w:eastAsia="Arial" w:hAnsi="Arial"/>
          <w:color w:val="263858"/>
          <w:sz w:val="20"/>
          <w:szCs w:val="20"/>
        </w:rPr>
        <w:t xml:space="preserve">At the periodic review point recorded in field 14, or whenever the assurance result of the task changes materially.</w:t>
      </w:r>
    </w:p>
    <w:p>
      <w:pPr>
        <w:pStyle w:val="Heading1"/>
        <w:pBdr>
          <w:bottom w:val="single" w:color="08A6D4" w:sz="12" w:space="4"/>
        </w:pBdr>
        <w:spacing w:after="140" w:before="320"/>
      </w:pPr>
      <w:r>
        <w:rPr>
          <w:rFonts w:ascii="Arial" w:cs="Arial" w:eastAsia="Arial" w:hAnsi="Arial"/>
          <w:b/>
          <w:bCs/>
          <w:color w:val="263858"/>
          <w:sz w:val="26"/>
          <w:szCs w:val="26"/>
        </w:rPr>
        <w:t xml:space="preserve">3. Accountable owner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300"/>
        <w:gridCol w:w="3000"/>
        <w:gridCol w:w="4338"/>
      </w:tblGrid>
      <w:tr>
        <w:trPr>
          <w:tblHeader/>
        </w:trPr>
        <w:tc>
          <w:tcPr>
            <w:tcW w:type="dxa" w:w="2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Named person in the CE-018 worked example</w:t>
            </w:r>
          </w:p>
        </w:tc>
        <w:tc>
          <w:tcPr>
            <w:tcW w:type="dxa" w:w="4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Responsibility for this template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Author / drafter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Drafts the canvas, proposes the boundary and identifies the approved sources.</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Approver / decision owner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Approves the boundary, confirms the retained decision and signs the canvas before use.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Contributor — operational evidence</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Theo Grant — Access Interface Manager (CityRail Operations)</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Confirms which operational records are authoritative for the task.</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Contributor — contractor records</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Marcus Reed — Contractor Delivery Lead (Northstar Civil Engineering Ltd)</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Confirms which contractor-issued records are current and their intended use.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Configured AI support</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Assurance Assistant</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Operates only inside the approved boundary. Holds no decision and approves nothing.</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Configure before use</w:t>
            </w:r>
          </w:p>
          <w:p>
            <w:pPr>
              <w:spacing w:after="40"/>
            </w:pPr>
            <w:r>
              <w:rPr>
                <w:rFonts w:ascii="Arial" w:cs="Arial" w:eastAsia="Arial" w:hAnsi="Arial"/>
                <w:color w:val="263858"/>
                <w:sz w:val="18"/>
                <w:szCs w:val="18"/>
              </w:rPr>
              <w:t xml:space="preserve">Replace the named individuals above with the relevant contractual role or accountable decision owner on your own project. The named NEC4 role, not the assistant, holds the decision.</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4. Completion instructions</w:t>
      </w:r>
    </w:p>
    <w:p>
      <w:pPr>
        <w:pStyle w:val="ListParagraph"/>
        <w:numPr>
          <w:ilvl w:val="0"/>
          <w:numId w:val="3"/>
        </w:numPr>
        <w:spacing w:after="60"/>
      </w:pPr>
      <w:r>
        <w:rPr>
          <w:rFonts w:ascii="Arial" w:cs="Arial" w:eastAsia="Arial" w:hAnsi="Arial"/>
          <w:color w:val="263858"/>
          <w:sz w:val="20"/>
          <w:szCs w:val="20"/>
        </w:rPr>
        <w:t xml:space="preserve">Complete fields 1 to 3 first. If you cannot name a single decision and a single accountable decision owner, stop and narrow the use case before continuing.</w:t>
      </w:r>
    </w:p>
    <w:p>
      <w:pPr>
        <w:pStyle w:val="ListParagraph"/>
        <w:numPr>
          <w:ilvl w:val="0"/>
          <w:numId w:val="3"/>
        </w:numPr>
        <w:spacing w:after="60"/>
      </w:pPr>
      <w:r>
        <w:rPr>
          <w:rFonts w:ascii="Arial" w:cs="Arial" w:eastAsia="Arial" w:hAnsi="Arial"/>
          <w:color w:val="263858"/>
          <w:sz w:val="20"/>
          <w:szCs w:val="20"/>
        </w:rPr>
        <w:t xml:space="preserve">Complete fields 4 and 5 as a matched pair. Anything not written in field 4 is out of scope by default; field 5 records the exclusions that would otherwise be assumed in.</w:t>
      </w:r>
    </w:p>
    <w:p>
      <w:pPr>
        <w:pStyle w:val="ListParagraph"/>
        <w:numPr>
          <w:ilvl w:val="0"/>
          <w:numId w:val="3"/>
        </w:numPr>
        <w:spacing w:after="60"/>
      </w:pPr>
      <w:r>
        <w:rPr>
          <w:rFonts w:ascii="Arial" w:cs="Arial" w:eastAsia="Arial" w:hAnsi="Arial"/>
          <w:color w:val="263858"/>
          <w:sz w:val="20"/>
          <w:szCs w:val="20"/>
        </w:rPr>
        <w:t xml:space="preserve">List in field 6 only records that are registered, at an approved revision and controlled. A record that is not in the register is not an approved source.</w:t>
      </w:r>
    </w:p>
    <w:p>
      <w:pPr>
        <w:pStyle w:val="ListParagraph"/>
        <w:numPr>
          <w:ilvl w:val="0"/>
          <w:numId w:val="3"/>
        </w:numPr>
        <w:spacing w:after="60"/>
      </w:pPr>
      <w:r>
        <w:rPr>
          <w:rFonts w:ascii="Arial" w:cs="Arial" w:eastAsia="Arial" w:hAnsi="Arial"/>
          <w:color w:val="263858"/>
          <w:sz w:val="20"/>
          <w:szCs w:val="20"/>
        </w:rPr>
        <w:t xml:space="preserve">State in field 7 the fixed tests that will be applied to the output, and in field 8 the rule that governs a failure. Do not leave the failure rule to be decided after the result is known.</w:t>
      </w:r>
    </w:p>
    <w:p>
      <w:pPr>
        <w:pStyle w:val="ListParagraph"/>
        <w:numPr>
          <w:ilvl w:val="0"/>
          <w:numId w:val="3"/>
        </w:numPr>
        <w:spacing w:after="60"/>
      </w:pPr>
      <w:r>
        <w:rPr>
          <w:rFonts w:ascii="Arial" w:cs="Arial" w:eastAsia="Arial" w:hAnsi="Arial"/>
          <w:color w:val="263858"/>
          <w:sz w:val="20"/>
          <w:szCs w:val="20"/>
        </w:rPr>
        <w:t xml:space="preserve">Write field 9 as a list of artefacts the assistant may produce, and field 10 as a list of actions it must not take. Field 10 must include every reserved contractual decision and communication.</w:t>
      </w:r>
    </w:p>
    <w:p>
      <w:pPr>
        <w:pStyle w:val="ListParagraph"/>
        <w:numPr>
          <w:ilvl w:val="0"/>
          <w:numId w:val="3"/>
        </w:numPr>
        <w:spacing w:after="60"/>
      </w:pPr>
      <w:r>
        <w:rPr>
          <w:rFonts w:ascii="Arial" w:cs="Arial" w:eastAsia="Arial" w:hAnsi="Arial"/>
          <w:color w:val="263858"/>
          <w:sz w:val="20"/>
          <w:szCs w:val="20"/>
        </w:rPr>
        <w:t xml:space="preserve">Name in field 11 the route an exception takes and the owner who receives it. An exception with no named owner is not routed.</w:t>
      </w:r>
    </w:p>
    <w:p>
      <w:pPr>
        <w:pStyle w:val="ListParagraph"/>
        <w:numPr>
          <w:ilvl w:val="0"/>
          <w:numId w:val="3"/>
        </w:numPr>
        <w:spacing w:after="60"/>
      </w:pPr>
      <w:r>
        <w:rPr>
          <w:rFonts w:ascii="Arial" w:cs="Arial" w:eastAsia="Arial" w:hAnsi="Arial"/>
          <w:color w:val="263858"/>
          <w:sz w:val="20"/>
          <w:szCs w:val="20"/>
        </w:rPr>
        <w:t xml:space="preserve">State field 12 in the name of the relevant contractual role. Do not describe the assistant as holding, sharing or supporting the decision.</w:t>
      </w:r>
    </w:p>
    <w:p>
      <w:pPr>
        <w:pStyle w:val="ListParagraph"/>
        <w:numPr>
          <w:ilvl w:val="0"/>
          <w:numId w:val="3"/>
        </w:numPr>
        <w:spacing w:after="60"/>
      </w:pPr>
      <w:r>
        <w:rPr>
          <w:rFonts w:ascii="Arial" w:cs="Arial" w:eastAsia="Arial" w:hAnsi="Arial"/>
          <w:color w:val="263858"/>
          <w:sz w:val="20"/>
          <w:szCs w:val="20"/>
        </w:rPr>
        <w:t xml:space="preserve">Agree field 13 as an observable measure, not an aspiration. Set the review trigger and date in field 14.</w:t>
      </w:r>
    </w:p>
    <w:p>
      <w:pPr>
        <w:pStyle w:val="ListParagraph"/>
        <w:numPr>
          <w:ilvl w:val="0"/>
          <w:numId w:val="3"/>
        </w:numPr>
        <w:spacing w:after="60"/>
      </w:pPr>
      <w:r>
        <w:rPr>
          <w:rFonts w:ascii="Arial" w:cs="Arial" w:eastAsia="Arial" w:hAnsi="Arial"/>
          <w:color w:val="263858"/>
          <w:sz w:val="20"/>
          <w:szCs w:val="20"/>
        </w:rPr>
        <w:t xml:space="preserve">Obtain the approver’s signature in the sign-off block, then register the approved canvas in CE018-SP-04 Approved Use-Case Register before the task begins.</w:t>
      </w:r>
    </w:p>
    <w:p>
      <w:pPr>
        <w:pStyle w:val="Heading1"/>
        <w:pBdr>
          <w:bottom w:val="single" w:color="08A6D4" w:sz="12" w:space="4"/>
        </w:pBdr>
        <w:spacing w:after="140" w:before="320"/>
      </w:pPr>
      <w:r>
        <w:rPr>
          <w:rFonts w:ascii="Arial" w:cs="Arial" w:eastAsia="Arial" w:hAnsi="Arial"/>
          <w:b/>
          <w:bCs/>
          <w:color w:val="263858"/>
          <w:sz w:val="26"/>
          <w:szCs w:val="26"/>
        </w:rPr>
        <w:t xml:space="preserve">5. Minimum mandatory fields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500"/>
        <w:gridCol w:w="5638"/>
        <w:gridCol w:w="1500"/>
      </w:tblGrid>
      <w:tr>
        <w:trPr>
          <w:tblHeader/>
        </w:trPr>
        <w:tc>
          <w:tcPr>
            <w:tcW w:type="dxa" w:w="2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5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must record</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Mandatory</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Bounded use case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One task, in one sentence, with the event or work package it applies to.</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Decision supported</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single decision the output feeds, and the point in the process at which it is taken.</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Accountable decision owner</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named contractual role that takes the decision. One role only.</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In scope / out of scope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Matched pair. Out of scope must name the reserved actions that would otherwise be assumed in.</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Approved information and sources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Register reference, record identifier and approved revision for every permitted source.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Assurance method and tests</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fixed tests applied to the output and the scoring scale used.</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Critical-failure rule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rule that determines the route when a critical control fails.</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Permitted assistant output</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artefacts the assistant may produce, and the status they carry when issued.</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Prohibited assistant actions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Every reserved contractual decision, communication and implementation action.</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Exception and escalation route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Where an exception goes, who owns it and the date basis applied.</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Retained human authority</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 statement in the name of the accountable contractual role.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Success measure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 observable measure of whether the controlled task worked.</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 trigger and date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causes the canvas to be reopened, and the scheduled review date.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Approval signature and date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Signature of the accountable decision owner and the date of approval.</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6. Blank reusable template</w:t>
      </w:r>
    </w:p>
    <w:tbl>
      <w:tblPr>
        <w:tblW w:type="dxa" w:w="9638"/>
        <w:tblBorders>
          <w:top w:val="single" w:color="08A6D4" w:sz="6"/>
          <w:left w:val="single" w:color="08A6D4" w:sz="18"/>
          <w:bottom w:val="single" w:color="08A6D4" w:sz="6"/>
          <w:right w:val="single" w:color="08A6D4" w:sz="6"/>
          <w:insideH w:val="none" w:sz="0"/>
          <w:insideV w:val="none" w:sz="0"/>
        </w:tblBorders>
      </w:tblPr>
      <w:tblGrid>
        <w:gridCol w:w="9638"/>
      </w:tblGrid>
      <w:tr>
        <w:tc>
          <w:tcPr>
            <w:tcW w:type="dxa" w:w="9638"/>
            <w:shd w:fill="DFF3F8" w:color="auto" w:val="clear"/>
            <w:tcMar>
              <w:top w:type="dxa" w:w="120"/>
              <w:left w:type="dxa" w:w="160"/>
              <w:bottom w:type="dxa" w:w="120"/>
              <w:right w:type="dxa" w:w="140"/>
            </w:tcMar>
          </w:tcPr>
          <w:p>
            <w:pPr>
              <w:spacing w:after="60"/>
            </w:pPr>
            <w:r>
              <w:rPr>
                <w:rFonts w:ascii="Arial" w:cs="Arial" w:eastAsia="Arial" w:hAnsi="Arial"/>
                <w:b/>
                <w:bCs/>
                <w:color w:val="08A6D4"/>
                <w:sz w:val="19"/>
                <w:szCs w:val="19"/>
              </w:rPr>
              <w:t xml:space="preserve">TEMPLATE — CONFIGURE BEFORE USE</w:t>
            </w:r>
          </w:p>
          <w:p>
            <w:pPr>
              <w:spacing w:after="40"/>
            </w:pPr>
            <w:r>
              <w:rPr>
                <w:rFonts w:ascii="Arial" w:cs="Arial" w:eastAsia="Arial" w:hAnsi="Arial"/>
                <w:color w:val="263858"/>
                <w:sz w:val="18"/>
                <w:szCs w:val="18"/>
              </w:rPr>
              <w:t xml:space="preserve">Every field marked [CONFIGURE] must be set by the accountable owner before the template is used on a live task.</w:t>
            </w:r>
          </w:p>
          <w:p>
            <w:pPr>
              <w:spacing w:after="40"/>
            </w:pPr>
            <w:r>
              <w:rPr>
                <w:rFonts w:ascii="Arial" w:cs="Arial" w:eastAsia="Arial" w:hAnsi="Arial"/>
                <w:color w:val="263858"/>
                <w:sz w:val="18"/>
                <w:szCs w:val="18"/>
              </w:rPr>
              <w:t xml:space="preserve">This blank version carries no CE-018 data. Do not copy worked-example values into it.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Complete every numbered field. Fields marked [CONFIGURE] must be set by the accountable owner for the specific project, contract and event before the task is run.</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3000"/>
        <w:gridCol w:w="6638"/>
      </w:tblGrid>
      <w:tr>
        <w:trPr>
          <w:tblHeader/>
        </w:trPr>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Canvas field</w:t>
            </w:r>
          </w:p>
        </w:tc>
        <w:tc>
          <w:tcPr>
            <w:tcW w:type="dxa" w:w="6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 Bounded use case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One task, one sentence. Name the event, work package or record set it applies to.</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 Decision the output supports</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The single decision this output supports, and when that decision is taken.</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3. Accountable decision owner</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Named contractual role that takes the decision. One role only.</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4. In scope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What the assistant may examine, compare, reconcile and report.</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5. Out of scope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What the assistant must not touch, including every reserved contractual action.</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6. Approved information and sources</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Register reference, record ID and approved revision for each permitted source.</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7. Assurance method and tests</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The fixed tests applied and the scoring scale used.</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8. Critical-failure rule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The rule applied when a critical control fails, and its precedence over the numerical total.</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9. Permitted assistant output</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Artefacts the assistant may produce and the status they carry.</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10. Prohibited assistant actions</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Reserved decisions and communications the assistant must refuse.</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11. Exception and escalation route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Exception owner, escalation route and date basis.</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12. Retained human authority</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Statement naming the accountable contractual role that retains the decision.</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13. Success measure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Observable measure of a controlled outcome.</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14. Review trigger and date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 Review trigger and scheduled review date.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Approval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2600"/>
        <w:gridCol w:w="2600"/>
        <w:gridCol w:w="1838"/>
      </w:tblGrid>
      <w:tr>
        <w:trPr>
          <w:tblHeader/>
        </w:trPr>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c>
          <w:tcPr>
            <w:tcW w:type="dxa" w:w="1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Drafted by [CONFIGURE role]</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Approved by [CONFIGURE accountable decision owner]</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7. Completed CE-018 worked example</w:t>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ISSUED FOR PROJECT MANAGER REVIEW (IFR) — NOT APPROVED</w:t>
            </w:r>
          </w:p>
          <w:p>
            <w:pPr>
              <w:spacing w:after="40"/>
            </w:pPr>
            <w:r>
              <w:rPr>
                <w:rFonts w:ascii="Arial" w:cs="Arial" w:eastAsia="Arial" w:hAnsi="Arial"/>
                <w:color w:val="263858"/>
                <w:sz w:val="18"/>
                <w:szCs w:val="18"/>
              </w:rPr>
              <w:t xml:space="preserve">Fictional Demonstration Data. Every value below is transcribed from the four final issued CE-018 scenario JSON records and is not rerun, rescored or reinterpreted here.</w:t>
            </w:r>
          </w:p>
          <w:p>
            <w:pPr>
              <w:spacing w:after="40"/>
            </w:pPr>
            <w:r>
              <w:rPr>
                <w:rFonts w:ascii="Arial" w:cs="Arial" w:eastAsia="Arial" w:hAnsi="Arial"/>
                <w:color w:val="263858"/>
                <w:sz w:val="18"/>
                <w:szCs w:val="18"/>
              </w:rPr>
              <w:t xml:space="preserve">Configured NEC4 process-assurance checks only. Not a statement of NEC4 or legal compliance, and not legal advice.</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The worked example below is the CE-018 canvas as it stood at the 2026-03-31 evidence cut-off. It describes the boundary that produced the four issued scenario results; it does not restate or reinterpret those results.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3000"/>
        <w:gridCol w:w="6638"/>
      </w:tblGrid>
      <w:tr>
        <w:trPr>
          <w:tblHeader/>
        </w:trPr>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Canvas field</w:t>
            </w:r>
          </w:p>
        </w:tc>
        <w:tc>
          <w:tcPr>
            <w:tcW w:type="dxa" w:w="6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CE-018 entry</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 Bounded use case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 a cited, evidence-based decision-readiness assessment of the CE-018 evidence pack — restricted access to the Platform 4 worksite on the Westbridge Station Access and Enabling Works project.</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 Decision the output supports</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Whether the CE-018 pack is ready for the Project Manager’s contractual review, and which controlled review route applies.</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3. Accountable decision owner</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4. In scope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Inventory and classify registered evidence; extract dates, revisions, roles, WBS, programme activities, CBS, cost, schedule and assumptions; reconcile the Accepted Programme, current update, quotation, forecast, risk and change records; run T1 to T4; run the twelve configured controls NEC-01 to NEC-12; report the four Clause 64.1 intervention trigger checks; prepare a cited pack, scorecard, exceptions, actions and a recommended route.</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5. Out of scope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Deciding whether CE-018 is a compensation event; deciding entitlement; determining whether the Contractor’s assessment is contractually correct; assessing, accepting or rejecting Quotation Rev B; notifying, instructing, certifying, implementing or issuing any contractual communication; substituting UP13 for the Accepted Programme AP12; inventing missing evidence, averaging conflicting records or silently resolving a version conflict.</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6. Approved information and sources</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Source_Register.csv (SRC-001) Rev 3.0 governs. Eleven registered Context records and twelve registered scenario evidence records — twenty-three registered records in total. Accepted Programme AP12 and current update UP13 are separate records with separate purposes. The five branding image assets are formatting assets only and are not registered, inventoried, cited or scored.</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7. Assurance method and tests</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Four fixed tests from Four_Test_Checklist.csv (CTRL-005) Rev 3.0: T1 Evidence and version; T2 Records agree; T3 Configured NEC4 route and clock; T4 Human authority. Scoring 2 = fully evidenced, 1 = bounded condition requiring a recorded action, 0 = failed or unsupported critical control.</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8. Critical-failure rule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test scoring 0 is a critical failure and determines the route irrespective of the numerical total. An 8/8 score is not, on its own, a statement of NEC4 or legal compliance.</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9. Permitted assistant output</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 cited assurance report; a scorecard; a structured result record; an exception register; an action and retest register; and a recommended controlled review route. Issued status: ISSUED FOR PROJECT MANAGER REVIEW (IFR) — NOT APPROVED.</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10. Prohibited assistant actions</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Every action reserved to the Project Manager under CE018_Control_Brief.txt (CTRL-001) Rev 3.0 and row AI of Actor_Authority_Matrix.csv (CTRL-002) Rev 2.1. A request for a reserved action is itself the configured critical condition at T4; a correct refusal does not clear the test.</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11. Exception and escalation route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Exceptions are raised with a classification, a named record owner, a due date and an explicit date basis, and are routed by Sofia Khan. Matters reserved to the Project Manager are referred to Elena Brooks and are not closed by assurance retest.</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12. Retained human authority</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NEC4 Project Manager, retains every contractual decision on CE-018.</w:t>
            </w:r>
          </w:p>
        </w:tc>
      </w:tr>
      <w:tr>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13. Success measure</w:t>
            </w:r>
          </w:p>
        </w:tc>
        <w:tc>
          <w:tcPr>
            <w:tcW w:type="dxa" w:w="6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Every reported value is traceable to a registered record at an approved revision; every exception carries a named owner and a dated action; and no contractual decision is attributed to the assistant.</w:t>
            </w:r>
          </w:p>
        </w:tc>
      </w:tr>
      <w:tr>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14. Review trigger and date</w:t>
            </w:r>
          </w:p>
        </w:tc>
        <w:tc>
          <w:tcPr>
            <w:tcW w:type="dxa" w:w="6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Reopen on any change to Source_Register.csv Rev 3.0, to the four-test definitions, to the configured control matrix or to the authority matrix. Scheduled review at the configured contractual response date of 2026-04-11.</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Approval — CE-018 worked example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2600"/>
        <w:gridCol w:w="2600"/>
        <w:gridCol w:w="1838"/>
      </w:tblGrid>
      <w:tr>
        <w:trPr>
          <w:tblHeader/>
        </w:trPr>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c>
          <w:tcPr>
            <w:tcW w:type="dxa" w:w="1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Drafted by Project Controls Lead</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 — unsigned</w:t>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Approved by NEC4 Project Manager</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 — unsigned</w:t>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Pending — retained decision</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Why the boundary matters — the four issued CE-018 scenario results</w:t>
            </w:r>
          </w:p>
          <w:p>
            <w:pPr>
              <w:spacing w:after="40"/>
            </w:pPr>
            <w:r>
              <w:rPr>
                <w:rFonts w:ascii="Arial" w:cs="Arial" w:eastAsia="Arial" w:hAnsi="Arial"/>
                <w:color w:val="263858"/>
                <w:sz w:val="18"/>
                <w:szCs w:val="18"/>
              </w:rPr>
              <w:t xml:space="preserve">The same canvas, the same four tests and the same twelve controls were applied to four different evidence conditions and produced four different routes.</w:t>
            </w:r>
          </w:p>
          <w:p>
            <w:pPr>
              <w:spacing w:after="40"/>
            </w:pPr>
            <w:r>
              <w:rPr>
                <w:rFonts w:ascii="Arial" w:cs="Arial" w:eastAsia="Arial" w:hAnsi="Arial"/>
                <w:color w:val="263858"/>
                <w:sz w:val="18"/>
                <w:szCs w:val="18"/>
              </w:rPr>
              <w:t xml:space="preserve">S1 Rev 3.0 — evidence complete, one bounded limitation — total 7 of 8, no critical failure — READY WITH CONDITIONS.</w:t>
            </w:r>
          </w:p>
          <w:p>
            <w:pPr>
              <w:spacing w:after="40"/>
            </w:pPr>
            <w:r>
              <w:rPr>
                <w:rFonts w:ascii="Arial" w:cs="Arial" w:eastAsia="Arial" w:hAnsi="Arial"/>
                <w:color w:val="263858"/>
                <w:sz w:val="18"/>
                <w:szCs w:val="18"/>
              </w:rPr>
              <w:t xml:space="preserve">S2 Rev 3.1 — mandatory evidence missing — total 2 of 8, critical failures T1, T2 and T3 — REWORK EVIDENCE PACK.</w:t>
            </w:r>
          </w:p>
          <w:p>
            <w:pPr>
              <w:spacing w:after="40"/>
            </w:pPr>
            <w:r>
              <w:rPr>
                <w:rFonts w:ascii="Arial" w:cs="Arial" w:eastAsia="Arial" w:hAnsi="Arial"/>
                <w:color w:val="263858"/>
                <w:sz w:val="18"/>
                <w:szCs w:val="18"/>
              </w:rPr>
              <w:t xml:space="preserve">S3 Rev 3.4 — records materially conflict — total 4 of 8, critical failure T2 — STOP / RECONCILE.</w:t>
            </w:r>
          </w:p>
          <w:p>
            <w:pPr>
              <w:spacing w:after="40"/>
            </w:pPr>
            <w:r>
              <w:rPr>
                <w:rFonts w:ascii="Arial" w:cs="Arial" w:eastAsia="Arial" w:hAnsi="Arial"/>
                <w:color w:val="263858"/>
                <w:sz w:val="18"/>
                <w:szCs w:val="18"/>
              </w:rPr>
              <w:t xml:space="preserve">S4 Rev 3.2 — a reserved contractual action was requested — total 5 of 8, critical failure T4 — REFER TO PROJECT MANAGER.</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8. Recorded assumptions, gaps and limitations</w:t>
      </w:r>
    </w:p>
    <w:p>
      <w:pPr>
        <w:pStyle w:val="ListParagraph"/>
        <w:numPr>
          <w:ilvl w:val="0"/>
          <w:numId w:val="2"/>
        </w:numPr>
        <w:spacing w:after="60"/>
      </w:pPr>
      <w:r>
        <w:rPr>
          <w:rFonts w:ascii="Arial" w:cs="Arial" w:eastAsia="Arial" w:hAnsi="Arial"/>
          <w:color w:val="263858"/>
          <w:sz w:val="20"/>
          <w:szCs w:val="20"/>
        </w:rPr>
        <w:t xml:space="preserve">The canvas records a boundary, not a result. It does not score evidence and does not carry a decision-readiness route.</w:t>
      </w:r>
    </w:p>
    <w:p>
      <w:pPr>
        <w:pStyle w:val="ListParagraph"/>
        <w:numPr>
          <w:ilvl w:val="0"/>
          <w:numId w:val="2"/>
        </w:numPr>
        <w:spacing w:after="60"/>
      </w:pPr>
      <w:r>
        <w:rPr>
          <w:rFonts w:ascii="Arial" w:cs="Arial" w:eastAsia="Arial" w:hAnsi="Arial"/>
          <w:color w:val="263858"/>
          <w:sz w:val="20"/>
          <w:szCs w:val="20"/>
        </w:rPr>
        <w:t xml:space="preserve">The CE-018 worked example is Fictional Demonstration Data. The clause references, response periods and contract configuration are those registered in the demonstration Context files. In live use they must be replaced by the executed contract, Contract Data, Scope and amendments.</w:t>
      </w:r>
    </w:p>
    <w:p>
      <w:pPr>
        <w:pStyle w:val="ListParagraph"/>
        <w:numPr>
          <w:ilvl w:val="0"/>
          <w:numId w:val="2"/>
        </w:numPr>
        <w:spacing w:after="60"/>
      </w:pPr>
      <w:r>
        <w:rPr>
          <w:rFonts w:ascii="Arial" w:cs="Arial" w:eastAsia="Arial" w:hAnsi="Arial"/>
          <w:color w:val="263858"/>
          <w:sz w:val="20"/>
          <w:szCs w:val="20"/>
        </w:rPr>
        <w:t xml:space="preserve">No relevant Z-clause amendment is configured for the selected clauses in the demonstration. A live canvas must record any amendment that changes a period, a route or a reserved authority.</w:t>
      </w:r>
    </w:p>
    <w:p>
      <w:pPr>
        <w:pStyle w:val="ListParagraph"/>
        <w:numPr>
          <w:ilvl w:val="0"/>
          <w:numId w:val="2"/>
        </w:numPr>
        <w:spacing w:after="60"/>
      </w:pPr>
      <w:r>
        <w:rPr>
          <w:rFonts w:ascii="Arial" w:cs="Arial" w:eastAsia="Arial" w:hAnsi="Arial"/>
          <w:color w:val="263858"/>
          <w:sz w:val="20"/>
          <w:szCs w:val="20"/>
        </w:rPr>
        <w:t xml:space="preserve">The canvas assumes that the approved sources named in field 6 are themselves controlled. If the source register is not maintained, field 6 gives false assurance.</w:t>
      </w:r>
    </w:p>
    <w:p>
      <w:pPr>
        <w:pStyle w:val="ListParagraph"/>
        <w:numPr>
          <w:ilvl w:val="0"/>
          <w:numId w:val="2"/>
        </w:numPr>
        <w:spacing w:after="60"/>
      </w:pPr>
      <w:r>
        <w:rPr>
          <w:rFonts w:ascii="Arial" w:cs="Arial" w:eastAsia="Arial" w:hAnsi="Arial"/>
          <w:color w:val="263858"/>
          <w:sz w:val="20"/>
          <w:szCs w:val="20"/>
        </w:rPr>
        <w:t xml:space="preserve">Prompt-level or individual-memory instructions are not an organisational control. Mandatory controls belong in policy, platform access and data controls, managed workspace instructions, controlled templates and monitoring.</w:t>
      </w:r>
    </w:p>
    <w:p>
      <w:pPr>
        <w:pStyle w:val="ListParagraph"/>
        <w:numPr>
          <w:ilvl w:val="0"/>
          <w:numId w:val="2"/>
        </w:numPr>
        <w:spacing w:after="60"/>
      </w:pPr>
      <w:r>
        <w:rPr>
          <w:rFonts w:ascii="Arial" w:cs="Arial" w:eastAsia="Arial" w:hAnsi="Arial"/>
          <w:color w:val="263858"/>
          <w:sz w:val="20"/>
          <w:szCs w:val="20"/>
        </w:rPr>
        <w:t xml:space="preserve">Gap carried: the canvas cannot anticipate every reserved action. Field 10 must be reread against the authority matrix whenever the task or the role set changes.</w:t>
      </w:r>
    </w:p>
    <w:p>
      <w:pPr>
        <w:pStyle w:val="Heading1"/>
        <w:pBdr>
          <w:bottom w:val="single" w:color="08A6D4" w:sz="12" w:space="4"/>
        </w:pBdr>
        <w:spacing w:after="140" w:before="320"/>
      </w:pPr>
      <w:r>
        <w:rPr>
          <w:rFonts w:ascii="Arial" w:cs="Arial" w:eastAsia="Arial" w:hAnsi="Arial"/>
          <w:b/>
          <w:bCs/>
          <w:color w:val="263858"/>
          <w:sz w:val="26"/>
          <w:szCs w:val="26"/>
        </w:rPr>
        <w:t xml:space="preserve">9. Document control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800"/>
        <w:gridCol w:w="6838"/>
      </w:tblGrid>
      <w:tr>
        <w:trPr>
          <w:tblHeader/>
        </w:trPr>
        <w:tc>
          <w:tcPr>
            <w:tcW w:type="dxa" w:w="2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field</w:t>
            </w:r>
          </w:p>
        </w:tc>
        <w:tc>
          <w:tcPr>
            <w:tcW w:type="dxa" w:w="6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v1.0</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blank template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TEMPLATE — CONFIGURE BEFORE USE</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ISSUED FOR PROJECT MANAGER REVIEW (IFR) — NOT APPROVED</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 date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cut-off applied to the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by</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Project Controls Assurance Assistant (configured AI support, non-contractual)</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for</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owner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 trigger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change to the approved source register, the four-test definitions, the configured control matrix or the authority matrix</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10. Relationship to the previous and next template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600"/>
        <w:gridCol w:w="3400"/>
        <w:gridCol w:w="4638"/>
      </w:tblGrid>
      <w:tr>
        <w:trPr>
          <w:tblHeader/>
        </w:trPr>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Position</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w:t>
            </w:r>
          </w:p>
        </w:tc>
        <w:tc>
          <w:tcPr>
            <w:tcW w:type="dxa" w:w="4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Relationship</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Previous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None</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This is the first template in the pack. Nothing precedes it.</w:t>
            </w:r>
          </w:p>
        </w:tc>
      </w:tr>
      <w:tr>
        <w:tc>
          <w:tcPr>
            <w:tcW w:type="dxa" w:w="1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This template</w:t>
            </w:r>
          </w:p>
        </w:tc>
        <w:tc>
          <w:tcPr>
            <w:tcW w:type="dxa" w:w="34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CE018-SP-01 Use-Case and Controls Canvas</w:t>
            </w:r>
          </w:p>
        </w:tc>
        <w:tc>
          <w:tcPr>
            <w:tcW w:type="dxa" w:w="4638"/>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Fixes the boundary of one AI-assisted task before any evidence is gathered or any tool is used.</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Next</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CE018-SP-02 Uncertainty and Dependency Register</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canvas fixes the boundary; SP-02 records what is still unknown inside that boundary and what the task depends on.</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11. Retained human authority</w:t>
      </w:r>
    </w:p>
    <w:p>
      <w:pPr>
        <w:spacing w:after="100" w:before="0"/>
        <w:jc w:val="left"/>
      </w:pPr>
      <w:r>
        <w:rPr>
          <w:rFonts w:ascii="Arial" w:cs="Arial" w:eastAsia="Arial" w:hAnsi="Arial"/>
          <w:b w:val="false"/>
          <w:bCs w:val="false"/>
          <w:i w:val="false"/>
          <w:iCs w:val="false"/>
          <w:color w:val="263858"/>
          <w:sz w:val="20"/>
          <w:szCs w:val="20"/>
        </w:rPr>
        <w:t xml:space="preserve">The configured assistant may extract, link, compare, reconcile, cite, flag, score against the configured controls, identify exceptions and owners, prepare a decision-readiness pack and recommend a controlled review route.</w:t>
      </w:r>
    </w:p>
    <w:p>
      <w:pPr>
        <w:spacing w:after="100" w:before="0"/>
        <w:jc w:val="left"/>
      </w:pPr>
      <w:r>
        <w:rPr>
          <w:rFonts w:ascii="Arial" w:cs="Arial" w:eastAsia="Arial" w:hAnsi="Arial"/>
          <w:b w:val="false"/>
          <w:bCs w:val="false"/>
          <w:i w:val="false"/>
          <w:iCs w:val="false"/>
          <w:color w:val="263858"/>
          <w:sz w:val="20"/>
          <w:szCs w:val="20"/>
        </w:rPr>
        <w:t xml:space="preserve">The assistant must not 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or provide legal advice.</w:t>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decision</w:t>
            </w:r>
          </w:p>
          <w:p>
            <w:pPr>
              <w:spacing w:after="40"/>
            </w:pPr>
            <w:r>
              <w:rPr>
                <w:rFonts w:ascii="Arial" w:cs="Arial" w:eastAsia="Arial" w:hAnsi="Arial"/>
                <w:color w:val="263858"/>
                <w:sz w:val="18"/>
                <w:szCs w:val="18"/>
              </w:rPr>
              <w:t xml:space="preserve">Elena Brooks, NEC4 Project Manager, retains every contractual decision on CE-018.</w:t>
            </w:r>
          </w:p>
          <w:p>
            <w:pPr>
              <w:spacing w:after="40"/>
            </w:pPr>
            <w:r>
              <w:rPr>
                <w:rFonts w:ascii="Arial" w:cs="Arial" w:eastAsia="Arial" w:hAnsi="Arial"/>
                <w:color w:val="263858"/>
                <w:sz w:val="18"/>
                <w:szCs w:val="18"/>
              </w:rPr>
              <w:t xml:space="preserve">When this template is reused, the equivalent statement must name the relevant contractual role or accountable decision owner on that project.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6" w:space="6"/>
      </w:pBdr>
      <w:tabs>
        <w:tab w:val="right" w:pos="9638"/>
      </w:tabs>
    </w:pPr>
    <w:r>
      <w:rPr>
        <w:rFonts w:ascii="Arial" w:cs="Arial" w:eastAsia="Arial" w:hAnsi="Arial"/>
        <w:color w:val="6B7A8D"/>
        <w:sz w:val="14"/>
        <w:szCs w:val="14"/>
      </w:rPr>
      <w:t xml:space="preserve">CE018-SP-01  |  v1.0  |  Fictional Demonstration Data  |  Not a contractual communication</w:t>
    </w:r>
    <w:r>
      <w:rPr>
        <w:rFonts w:ascii="Arial" w:cs="Arial" w:eastAsia="Arial" w:hAnsi="Arial"/>
        <w:sz w:val="14"/>
        <w:szCs w:val="14"/>
      </w:rPr>
      <w:t xml:space="preserve">	</w:t>
    </w:r>
    <w:r>
      <w:rPr>
        <w:rFonts w:ascii="Arial" w:cs="Arial" w:eastAsia="Arial" w:hAnsi="Arial"/>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r>
      <w:rPr>
        <w:rFonts w:ascii="Arial" w:cs="Arial" w:eastAsia="Arial" w:hAnsi="Arial"/>
        <w:color w:val="6B7A8D"/>
        <w:sz w:val="14"/>
        <w:szCs w:val="14"/>
      </w:rPr>
      <w:t xml:space="preserve"> of </w:t>
    </w:r>
    <w:r>
      <w:rPr>
        <w:rFonts w:ascii="Arial" w:cs="Arial" w:eastAsia="Arial" w:hAnsi="Arial"/>
        <w:color w:val="6B7A8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8A6D4"/>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b/>
        <w:bCs/>
        <w:color w:val="7548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and Controls Canvas</dc:title>
  <dc:creator>CE-018 Project Controls Assurance Assistant</dc:creator>
  <dc:description>Fictional Demonstration Data — CE-018 Project Controls Assurance Starter Pack</dc:description>
  <cp:lastModifiedBy>Un-named</cp:lastModifiedBy>
  <cp:revision>1</cp:revision>
  <dcterms:created xsi:type="dcterms:W3CDTF">2026-08-24T03:31:27.993Z</dcterms:created>
  <dcterms:modified xsi:type="dcterms:W3CDTF">2026-08-24T03:31:27.993Z</dcterms:modified>
</cp:coreProperties>
</file>

<file path=docProps/custom.xml><?xml version="1.0" encoding="utf-8"?>
<Properties xmlns="http://schemas.openxmlformats.org/officeDocument/2006/custom-properties" xmlns:vt="http://schemas.openxmlformats.org/officeDocument/2006/docPropsVTypes"/>
</file>