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819"/>
        <w:gridCol w:w="4819"/>
      </w:tblGrid>
      <w:tr>
        <w:tc>
          <w:tcPr>
            <w:tcW w:type="dxa" w:w="4819"/>
            <w:tcBorders>
              <w:top w:val="none" w:sz="0"/>
              <w:left w:val="none" w:sz="0"/>
              <w:bottom w:val="none" w:sz="0"/>
              <w:right w:val="none" w:sz="0"/>
            </w:tcBorders>
            <w:tcMar>
              <w:top w:type="dxa" w:w="0"/>
              <w:left w:type="dxa" w:w="0"/>
              <w:bottom w:type="dxa" w:w="0"/>
              <w:right w:type="dxa" w:w="0"/>
            </w:tcMar>
          </w:tcPr>
          <w:p>
            <w:pPr>
              <w:jc w:val="left"/>
            </w:pPr>
            <w:r>
              <w:drawing>
                <wp:inline distT="0" distB="0" distL="0" distR="0">
                  <wp:extent cx="2000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533400"/>
                          </a:xfrm>
                          <a:prstGeom prst="rect">
                            <a:avLst/>
                          </a:prstGeom>
                        </pic:spPr>
                      </pic:pic>
                    </a:graphicData>
                  </a:graphic>
                </wp:inline>
              </w:drawing>
            </w:r>
          </w:p>
        </w:tc>
        <w:tc>
          <w:tcPr>
            <w:tcW w:type="dxa" w:w="4819"/>
            <w:tcBorders>
              <w:top w:val="none" w:sz="0"/>
              <w:left w:val="none" w:sz="0"/>
              <w:bottom w:val="none" w:sz="0"/>
              <w:right w:val="none" w:sz="0"/>
            </w:tcBorders>
            <w:tcMar>
              <w:top w:type="dxa" w:w="0"/>
              <w:left w:type="dxa" w:w="0"/>
              <w:bottom w:type="dxa" w:w="0"/>
              <w:right w:type="dxa" w:w="0"/>
            </w:tcMar>
          </w:tcPr>
          <w:p>
            <w:pPr>
              <w:jc w:val="right"/>
            </w:pPr>
            <w:r>
              <w:drawing>
                <wp:inline distT="0" distB="0" distL="0" distR="0">
                  <wp:extent cx="2095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14350"/>
                          </a:xfrm>
                          <a:prstGeom prst="rect">
                            <a:avLst/>
                          </a:prstGeom>
                        </pic:spPr>
                      </pic:pic>
                    </a:graphicData>
                  </a:graphic>
                </wp:inline>
              </w:drawing>
            </w:r>
          </w:p>
        </w:tc>
      </w:tr>
    </w:tbl>
    <w:p>
      <w:pPr>
        <w:pBdr>
          <w:bottom w:val="single" w:color="08A6D4" w:sz="18" w:space="2"/>
        </w:pBdr>
        <w:spacing w:after="160" w:before="80"/>
      </w:pPr>
      <w:r>
        <w:rPr>
          <w:rFonts w:ascii="Arial" w:cs="Arial" w:eastAsia="Arial" w:hAnsi="Arial"/>
          <w:sz w:val="2"/>
          <w:szCs w:val="2"/>
        </w:rPr>
        <w:t xml:space="preserve"/>
      </w:r>
    </w:p>
    <w:p>
      <w:pPr>
        <w:spacing w:after="60" w:before="0"/>
        <w:jc w:val="left"/>
      </w:pPr>
      <w:r>
        <w:rPr>
          <w:rFonts w:ascii="Arial" w:cs="Arial" w:eastAsia="Arial" w:hAnsi="Arial"/>
          <w:b/>
          <w:bCs/>
          <w:i w:val="false"/>
          <w:iCs w:val="false"/>
          <w:color w:val="08A6D4"/>
          <w:sz w:val="20"/>
          <w:szCs w:val="20"/>
        </w:rPr>
        <w:t xml:space="preserve">CE018-SP-06</w:t>
      </w:r>
    </w:p>
    <w:p>
      <w:pPr>
        <w:spacing w:after="80" w:before="0"/>
        <w:jc w:val="left"/>
      </w:pPr>
      <w:r>
        <w:rPr>
          <w:rFonts w:ascii="Arial" w:cs="Arial" w:eastAsia="Arial" w:hAnsi="Arial"/>
          <w:b/>
          <w:bCs/>
          <w:i w:val="false"/>
          <w:iCs w:val="false"/>
          <w:color w:val="263858"/>
          <w:sz w:val="40"/>
          <w:szCs w:val="40"/>
        </w:rPr>
        <w:t xml:space="preserve">AI Toolbox Talk Checklist</w:t>
      </w:r>
    </w:p>
    <w:p>
      <w:pPr>
        <w:spacing w:after="200" w:before="0"/>
        <w:jc w:val="left"/>
      </w:pPr>
      <w:r>
        <w:rPr>
          <w:rFonts w:ascii="Arial" w:cs="Arial" w:eastAsia="Arial" w:hAnsi="Arial"/>
          <w:b w:val="false"/>
          <w:bCs w:val="false"/>
          <w:i w:val="false"/>
          <w:iCs w:val="false"/>
          <w:color w:val="754887"/>
          <w:sz w:val="22"/>
          <w:szCs w:val="22"/>
        </w:rPr>
        <w:t xml:space="preserve">Stage 02 — Govern AI use  |  Pre-task briefing and attendance record for everyone who will touch the assisted task</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7038"/>
      </w:tblGrid>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Document reference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CE018-SP-06</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Template title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AI Toolbox Talk Checklist</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Starter pack stage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02 — Govern AI use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Accountable owner</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Project Controls Lead (delivers the talk) / accountable decision owner (confirms the authority boundary)</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Version</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v1.0</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Status</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TEMPLATE — CONFIGURE BEFORE USE (blank)  |  ISSUED FOR PROJECT MANAGER REVIEW (IFR) — NOT APPROVED (worked example)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Issue date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2026-03-31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Project</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Westbridge Station Access and Enabling Works (WSAE)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Worked example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 — Restricted access to the Platform 4 worksite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Classification</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Fictional Demonstration Data</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Previous template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CE018-SP-05 Data and Source Control Matrix</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Next template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CE018-SP-07 Task Control Brief</w:t>
            </w:r>
          </w:p>
        </w:tc>
      </w:tr>
    </w:tbl>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human authority</w:t>
            </w:r>
          </w:p>
          <w:p>
            <w:pPr>
              <w:spacing w:after="40"/>
            </w:pPr>
            <w:r>
              <w:rPr>
                <w:rFonts w:ascii="Arial" w:cs="Arial" w:eastAsia="Arial" w:hAnsi="Arial"/>
                <w:color w:val="263858"/>
                <w:sz w:val="18"/>
                <w:szCs w:val="18"/>
              </w:rPr>
              <w:t xml:space="preserve">This template is configured Project Controls assurance support. It is not a contractual communication and it does not state NEC4 or legal compliance.</w:t>
            </w:r>
          </w:p>
          <w:p>
            <w:pPr>
              <w:spacing w:after="40"/>
            </w:pPr>
            <w:r>
              <w:rPr>
                <w:rFonts w:ascii="Arial" w:cs="Arial" w:eastAsia="Arial" w:hAnsi="Arial"/>
                <w:color w:val="263858"/>
                <w:sz w:val="18"/>
                <w:szCs w:val="18"/>
              </w:rPr>
              <w:t xml:space="preserve">In the CE-018 worked example, Elena Brooks, NEC4 Project Manager, retains every contractual decision. In your own use, name the relevant contractual role or accountable decision owner in place of Elena Brooks.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1. Purpose</w:t>
      </w:r>
    </w:p>
    <w:p>
      <w:pPr>
        <w:spacing w:after="100" w:before="0"/>
        <w:jc w:val="left"/>
      </w:pPr>
      <w:r>
        <w:rPr>
          <w:rFonts w:ascii="Arial" w:cs="Arial" w:eastAsia="Arial" w:hAnsi="Arial"/>
          <w:b w:val="false"/>
          <w:bCs w:val="false"/>
          <w:i w:val="false"/>
          <w:iCs w:val="false"/>
          <w:color w:val="263858"/>
          <w:sz w:val="20"/>
          <w:szCs w:val="20"/>
        </w:rPr>
        <w:t xml:space="preserve">The toolbox talk is a short, structured briefing delivered before an AI-assisted task begins. It confirms out loud, to everyone who will touch the task, what the boundary is, which records are approved, what the assistant must refuse and who keeps the decision. The attendance record is the evidence that the briefing took place.</w:t>
      </w:r>
    </w:p>
    <w:p>
      <w:pPr>
        <w:spacing w:after="100" w:before="0"/>
        <w:jc w:val="left"/>
      </w:pPr>
      <w:r>
        <w:rPr>
          <w:rFonts w:ascii="Arial" w:cs="Arial" w:eastAsia="Arial" w:hAnsi="Arial"/>
          <w:b w:val="false"/>
          <w:bCs w:val="false"/>
          <w:i w:val="false"/>
          <w:iCs w:val="false"/>
          <w:color w:val="263858"/>
          <w:sz w:val="20"/>
          <w:szCs w:val="20"/>
        </w:rPr>
        <w:t xml:space="preserve">Controls that exist only on paper fail quietly. The talk is the point at which the written boundary is read by the people who could otherwise breach it without noticing.</w:t>
      </w:r>
    </w:p>
    <w:p>
      <w:pPr>
        <w:pStyle w:val="Heading1"/>
        <w:pBdr>
          <w:bottom w:val="single" w:color="08A6D4" w:sz="12" w:space="4"/>
        </w:pBdr>
        <w:spacing w:after="140" w:before="320"/>
      </w:pPr>
      <w:r>
        <w:rPr>
          <w:rFonts w:ascii="Arial" w:cs="Arial" w:eastAsia="Arial" w:hAnsi="Arial"/>
          <w:b/>
          <w:bCs/>
          <w:color w:val="263858"/>
          <w:sz w:val="26"/>
          <w:szCs w:val="26"/>
        </w:rPr>
        <w:t xml:space="preserve">2. When to use this template</w:t>
      </w:r>
    </w:p>
    <w:p>
      <w:pPr>
        <w:pStyle w:val="ListParagraph"/>
        <w:numPr>
          <w:ilvl w:val="0"/>
          <w:numId w:val="2"/>
        </w:numPr>
        <w:spacing w:after="60"/>
      </w:pPr>
      <w:r>
        <w:rPr>
          <w:rFonts w:ascii="Arial" w:cs="Arial" w:eastAsia="Arial" w:hAnsi="Arial"/>
          <w:color w:val="263858"/>
          <w:sz w:val="20"/>
          <w:szCs w:val="20"/>
        </w:rPr>
        <w:t xml:space="preserve">Immediately before the first run of a newly approved use case.</w:t>
      </w:r>
    </w:p>
    <w:p>
      <w:pPr>
        <w:pStyle w:val="ListParagraph"/>
        <w:numPr>
          <w:ilvl w:val="0"/>
          <w:numId w:val="2"/>
        </w:numPr>
        <w:spacing w:after="60"/>
      </w:pPr>
      <w:r>
        <w:rPr>
          <w:rFonts w:ascii="Arial" w:cs="Arial" w:eastAsia="Arial" w:hAnsi="Arial"/>
          <w:color w:val="263858"/>
          <w:sz w:val="20"/>
          <w:szCs w:val="20"/>
        </w:rPr>
        <w:t xml:space="preserve">When a new person joins the task, including a temporary or seconded resource.</w:t>
      </w:r>
    </w:p>
    <w:p>
      <w:pPr>
        <w:pStyle w:val="ListParagraph"/>
        <w:numPr>
          <w:ilvl w:val="0"/>
          <w:numId w:val="2"/>
        </w:numPr>
        <w:spacing w:after="60"/>
      </w:pPr>
      <w:r>
        <w:rPr>
          <w:rFonts w:ascii="Arial" w:cs="Arial" w:eastAsia="Arial" w:hAnsi="Arial"/>
          <w:color w:val="263858"/>
          <w:sz w:val="20"/>
          <w:szCs w:val="20"/>
        </w:rPr>
        <w:t xml:space="preserve">When the approved source set, the test definitions or the authority boundary changes.</w:t>
      </w:r>
    </w:p>
    <w:p>
      <w:pPr>
        <w:pStyle w:val="ListParagraph"/>
        <w:numPr>
          <w:ilvl w:val="0"/>
          <w:numId w:val="2"/>
        </w:numPr>
        <w:spacing w:after="60"/>
      </w:pPr>
      <w:r>
        <w:rPr>
          <w:rFonts w:ascii="Arial" w:cs="Arial" w:eastAsia="Arial" w:hAnsi="Arial"/>
          <w:color w:val="263858"/>
          <w:sz w:val="20"/>
          <w:szCs w:val="20"/>
        </w:rPr>
        <w:t xml:space="preserve">After any recorded control breach or near miss, before the task resumes.</w:t>
      </w:r>
    </w:p>
    <w:p>
      <w:pPr>
        <w:pStyle w:val="Heading1"/>
        <w:pBdr>
          <w:bottom w:val="single" w:color="08A6D4" w:sz="12" w:space="4"/>
        </w:pBdr>
        <w:spacing w:after="140" w:before="320"/>
      </w:pPr>
      <w:r>
        <w:rPr>
          <w:rFonts w:ascii="Arial" w:cs="Arial" w:eastAsia="Arial" w:hAnsi="Arial"/>
          <w:b/>
          <w:bCs/>
          <w:color w:val="263858"/>
          <w:sz w:val="26"/>
          <w:szCs w:val="26"/>
        </w:rPr>
        <w:t xml:space="preserve">3. Accountable owner</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300"/>
        <w:gridCol w:w="3000"/>
        <w:gridCol w:w="4338"/>
      </w:tblGrid>
      <w:tr>
        <w:trPr>
          <w:tblHeader/>
        </w:trPr>
        <w:tc>
          <w:tcPr>
            <w:tcW w:type="dxa" w:w="2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Named person in the CE-018 worked example</w:t>
            </w:r>
          </w:p>
        </w:tc>
        <w:tc>
          <w:tcPr>
            <w:tcW w:type="dxa" w:w="4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Responsibility for this template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Talk leader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Delivers the talk, works through every question and completes the attendance record.</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Authority confirmation</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Confirms the retained-authority statement and the refusal rule at question 14.</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Attendees</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Everyone who will prepare, operate, review or receive the assisted output</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Confirms understanding and signs the attendance record.</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Record holder</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Retains the completed record with the task audit trail.</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Configure before use</w:t>
            </w:r>
          </w:p>
          <w:p>
            <w:pPr>
              <w:spacing w:after="40"/>
            </w:pPr>
            <w:r>
              <w:rPr>
                <w:rFonts w:ascii="Arial" w:cs="Arial" w:eastAsia="Arial" w:hAnsi="Arial"/>
                <w:color w:val="263858"/>
                <w:sz w:val="18"/>
                <w:szCs w:val="18"/>
              </w:rPr>
              <w:t xml:space="preserve">Replace the named individuals above with the relevant contractual role or accountable decision owner on your own project. The named NEC4 role, not the assistant, holds the decision.</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4. Completion instructions</w:t>
      </w:r>
    </w:p>
    <w:p>
      <w:pPr>
        <w:pStyle w:val="ListParagraph"/>
        <w:numPr>
          <w:ilvl w:val="0"/>
          <w:numId w:val="3"/>
        </w:numPr>
        <w:spacing w:after="60"/>
      </w:pPr>
      <w:r>
        <w:rPr>
          <w:rFonts w:ascii="Arial" w:cs="Arial" w:eastAsia="Arial" w:hAnsi="Arial"/>
          <w:color w:val="263858"/>
          <w:sz w:val="20"/>
          <w:szCs w:val="20"/>
        </w:rPr>
        <w:t xml:space="preserve">Work through all fourteen questions in order. Do not skip a question because the answer seems obvious to the person leading the talk.</w:t>
      </w:r>
    </w:p>
    <w:p>
      <w:pPr>
        <w:pStyle w:val="ListParagraph"/>
        <w:numPr>
          <w:ilvl w:val="0"/>
          <w:numId w:val="3"/>
        </w:numPr>
        <w:spacing w:after="60"/>
      </w:pPr>
      <w:r>
        <w:rPr>
          <w:rFonts w:ascii="Arial" w:cs="Arial" w:eastAsia="Arial" w:hAnsi="Arial"/>
          <w:color w:val="263858"/>
          <w:sz w:val="20"/>
          <w:szCs w:val="20"/>
        </w:rPr>
        <w:t xml:space="preserve">Record an answer against every question. “Understood” is not an answer; the answer must be the substantive rule.</w:t>
      </w:r>
    </w:p>
    <w:p>
      <w:pPr>
        <w:pStyle w:val="ListParagraph"/>
        <w:numPr>
          <w:ilvl w:val="0"/>
          <w:numId w:val="3"/>
        </w:numPr>
        <w:spacing w:after="60"/>
      </w:pPr>
      <w:r>
        <w:rPr>
          <w:rFonts w:ascii="Arial" w:cs="Arial" w:eastAsia="Arial" w:hAnsi="Arial"/>
          <w:color w:val="263858"/>
          <w:sz w:val="20"/>
          <w:szCs w:val="20"/>
        </w:rPr>
        <w:t xml:space="preserve">Where a question cannot be answered, mark it OPEN, name an owner and a date, and do not start the task until it is closed.</w:t>
      </w:r>
    </w:p>
    <w:p>
      <w:pPr>
        <w:pStyle w:val="ListParagraph"/>
        <w:numPr>
          <w:ilvl w:val="0"/>
          <w:numId w:val="3"/>
        </w:numPr>
        <w:spacing w:after="60"/>
      </w:pPr>
      <w:r>
        <w:rPr>
          <w:rFonts w:ascii="Arial" w:cs="Arial" w:eastAsia="Arial" w:hAnsi="Arial"/>
          <w:color w:val="263858"/>
          <w:sz w:val="20"/>
          <w:szCs w:val="20"/>
        </w:rPr>
        <w:t xml:space="preserve">Confirm at question 10 the practical refusal script: what the operator does, in the moment, if a reserved action is requested.</w:t>
      </w:r>
    </w:p>
    <w:p>
      <w:pPr>
        <w:pStyle w:val="ListParagraph"/>
        <w:numPr>
          <w:ilvl w:val="0"/>
          <w:numId w:val="3"/>
        </w:numPr>
        <w:spacing w:after="60"/>
      </w:pPr>
      <w:r>
        <w:rPr>
          <w:rFonts w:ascii="Arial" w:cs="Arial" w:eastAsia="Arial" w:hAnsi="Arial"/>
          <w:color w:val="263858"/>
          <w:sz w:val="20"/>
          <w:szCs w:val="20"/>
        </w:rPr>
        <w:t xml:space="preserve">Complete the attendance record. Every attendee signs; the talk leader signs last.</w:t>
      </w:r>
    </w:p>
    <w:p>
      <w:pPr>
        <w:pStyle w:val="ListParagraph"/>
        <w:numPr>
          <w:ilvl w:val="0"/>
          <w:numId w:val="3"/>
        </w:numPr>
        <w:spacing w:after="60"/>
      </w:pPr>
      <w:r>
        <w:rPr>
          <w:rFonts w:ascii="Arial" w:cs="Arial" w:eastAsia="Arial" w:hAnsi="Arial"/>
          <w:color w:val="263858"/>
          <w:sz w:val="20"/>
          <w:szCs w:val="20"/>
        </w:rPr>
        <w:t xml:space="preserve">File the completed record with the task audit trail and reference it from the Task Control Brief (SP-07).</w:t>
      </w:r>
    </w:p>
    <w:p>
      <w:pPr>
        <w:pStyle w:val="Heading1"/>
        <w:pBdr>
          <w:bottom w:val="single" w:color="08A6D4" w:sz="12" w:space="4"/>
        </w:pBdr>
        <w:spacing w:after="140" w:before="320"/>
      </w:pPr>
      <w:r>
        <w:rPr>
          <w:rFonts w:ascii="Arial" w:cs="Arial" w:eastAsia="Arial" w:hAnsi="Arial"/>
          <w:b/>
          <w:bCs/>
          <w:color w:val="263858"/>
          <w:sz w:val="26"/>
          <w:szCs w:val="26"/>
        </w:rPr>
        <w:t xml:space="preserve">5. Minimum mandatory fields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500"/>
        <w:gridCol w:w="5638"/>
        <w:gridCol w:w="1500"/>
      </w:tblGrid>
      <w:tr>
        <w:trPr>
          <w:tblHeader/>
        </w:trPr>
        <w:tc>
          <w:tcPr>
            <w:tcW w:type="dxa" w:w="2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Field</w:t>
            </w:r>
          </w:p>
        </w:tc>
        <w:tc>
          <w:tcPr>
            <w:tcW w:type="dxa" w:w="5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must record</w:t>
            </w:r>
          </w:p>
        </w:tc>
        <w:tc>
          <w:tcPr>
            <w:tcW w:type="dxa" w:w="1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Mandatory</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Talk reference and date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Unique reference, date, time and location or platform.</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Task briefed</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bounded use case reference from SP-01 and SP-04.</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Answers to all fourteen questions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 substantive recorded answer, or OPEN with an owner and a date.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Refusal script</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exact action the operator takes when a reserved action is requested.</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Open items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Any question left OPEN, with owner and date.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Attendance record</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Name, organisation, role and signature for every attendee.</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Talk leader sign-off</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Name, signature and date.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6. Blank reusable template</w:t>
      </w:r>
    </w:p>
    <w:tbl>
      <w:tblPr>
        <w:tblW w:type="dxa" w:w="9638"/>
        <w:tblBorders>
          <w:top w:val="single" w:color="08A6D4" w:sz="6"/>
          <w:left w:val="single" w:color="08A6D4" w:sz="18"/>
          <w:bottom w:val="single" w:color="08A6D4" w:sz="6"/>
          <w:right w:val="single" w:color="08A6D4" w:sz="6"/>
          <w:insideH w:val="none" w:sz="0"/>
          <w:insideV w:val="none" w:sz="0"/>
        </w:tblBorders>
      </w:tblPr>
      <w:tblGrid>
        <w:gridCol w:w="9638"/>
      </w:tblGrid>
      <w:tr>
        <w:tc>
          <w:tcPr>
            <w:tcW w:type="dxa" w:w="9638"/>
            <w:shd w:fill="DFF3F8" w:color="auto" w:val="clear"/>
            <w:tcMar>
              <w:top w:type="dxa" w:w="120"/>
              <w:left w:type="dxa" w:w="160"/>
              <w:bottom w:type="dxa" w:w="120"/>
              <w:right w:type="dxa" w:w="140"/>
            </w:tcMar>
          </w:tcPr>
          <w:p>
            <w:pPr>
              <w:spacing w:after="60"/>
            </w:pPr>
            <w:r>
              <w:rPr>
                <w:rFonts w:ascii="Arial" w:cs="Arial" w:eastAsia="Arial" w:hAnsi="Arial"/>
                <w:b/>
                <w:bCs/>
                <w:color w:val="08A6D4"/>
                <w:sz w:val="19"/>
                <w:szCs w:val="19"/>
              </w:rPr>
              <w:t xml:space="preserve">TEMPLATE — CONFIGURE BEFORE USE</w:t>
            </w:r>
          </w:p>
          <w:p>
            <w:pPr>
              <w:spacing w:after="40"/>
            </w:pPr>
            <w:r>
              <w:rPr>
                <w:rFonts w:ascii="Arial" w:cs="Arial" w:eastAsia="Arial" w:hAnsi="Arial"/>
                <w:color w:val="263858"/>
                <w:sz w:val="18"/>
                <w:szCs w:val="18"/>
              </w:rPr>
              <w:t xml:space="preserve">Every field marked [CONFIGURE] must be set by the accountable owner before the template is used on a live task.</w:t>
            </w:r>
          </w:p>
          <w:p>
            <w:pPr>
              <w:spacing w:after="40"/>
            </w:pPr>
            <w:r>
              <w:rPr>
                <w:rFonts w:ascii="Arial" w:cs="Arial" w:eastAsia="Arial" w:hAnsi="Arial"/>
                <w:color w:val="263858"/>
                <w:sz w:val="18"/>
                <w:szCs w:val="18"/>
              </w:rPr>
              <w:t xml:space="preserve">This blank version carries no CE-018 data. Do not copy worked-example values into it.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Deliver the talk against the fourteen questions below. Record the answer given, not a tick.</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600"/>
        <w:gridCol w:w="4000"/>
        <w:gridCol w:w="5038"/>
      </w:tblGrid>
      <w:tr>
        <w:trPr>
          <w:tblHeader/>
        </w:trPr>
        <w:tc>
          <w:tcPr>
            <w:tcW w:type="dxa" w:w="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t>
            </w:r>
          </w:p>
        </w:tc>
        <w:tc>
          <w:tcPr>
            <w:tcW w:type="dxa" w:w="4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Question</w:t>
            </w:r>
          </w:p>
        </w:tc>
        <w:tc>
          <w:tcPr>
            <w:tcW w:type="dxa" w:w="50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Answer recorded on the day</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w:t>
            </w:r>
          </w:p>
        </w:tc>
        <w:tc>
          <w:tcPr>
            <w:tcW w:type="dxa" w:w="4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is the one bounded task, and what decision does it support?</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w:t>
            </w:r>
          </w:p>
        </w:tc>
        <w:tc>
          <w:tcPr>
            <w:tcW w:type="dxa" w:w="4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Who is the accountable decision owner, and is that person available?</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3</w:t>
            </w:r>
          </w:p>
        </w:tc>
        <w:tc>
          <w:tcPr>
            <w:tcW w:type="dxa" w:w="4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Which records are approved, and at which revisions?</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4</w:t>
            </w:r>
          </w:p>
        </w:tc>
        <w:tc>
          <w:tcPr>
            <w:tcW w:type="dxa" w:w="4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Which records are deliberately excluded, and why?</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5</w:t>
            </w:r>
          </w:p>
        </w:tc>
        <w:tc>
          <w:tcPr>
            <w:tcW w:type="dxa" w:w="4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must never be uploaded or entered?</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6</w:t>
            </w:r>
          </w:p>
        </w:tc>
        <w:tc>
          <w:tcPr>
            <w:tcW w:type="dxa" w:w="4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Which four tests apply, and what does each score mean?</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7</w:t>
            </w:r>
          </w:p>
        </w:tc>
        <w:tc>
          <w:tcPr>
            <w:tcW w:type="dxa" w:w="4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happens on a score of 0?</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8</w:t>
            </w:r>
          </w:p>
        </w:tc>
        <w:tc>
          <w:tcPr>
            <w:tcW w:type="dxa" w:w="4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output may the assistant produce, and what status does it carry?</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9</w:t>
            </w:r>
          </w:p>
        </w:tc>
        <w:tc>
          <w:tcPr>
            <w:tcW w:type="dxa" w:w="4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Which actions must the assistant refuse?</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10</w:t>
            </w:r>
          </w:p>
        </w:tc>
        <w:tc>
          <w:tcPr>
            <w:tcW w:type="dxa" w:w="4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do you do if the assistant is asked for a reserved action?</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11</w:t>
            </w:r>
          </w:p>
        </w:tc>
        <w:tc>
          <w:tcPr>
            <w:tcW w:type="dxa" w:w="4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Where do exceptions go, and who owns them?</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12</w:t>
            </w:r>
          </w:p>
        </w:tc>
        <w:tc>
          <w:tcPr>
            <w:tcW w:type="dxa" w:w="4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How is a due date classified — assurance target or contractual date?</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13</w:t>
            </w:r>
          </w:p>
        </w:tc>
        <w:tc>
          <w:tcPr>
            <w:tcW w:type="dxa" w:w="4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How is every reported value traced back to a source?</w:t>
            </w:r>
          </w:p>
        </w:tc>
        <w:tc>
          <w:tcPr>
            <w:tcW w:type="dxa" w:w="50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14</w:t>
            </w:r>
          </w:p>
        </w:tc>
        <w:tc>
          <w:tcPr>
            <w:tcW w:type="dxa" w:w="4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Who retains the decision?</w:t>
            </w:r>
          </w:p>
        </w:tc>
        <w:tc>
          <w:tcPr>
            <w:tcW w:type="dxa" w:w="5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Open items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400"/>
        <w:gridCol w:w="4838"/>
        <w:gridCol w:w="1900"/>
        <w:gridCol w:w="1500"/>
      </w:tblGrid>
      <w:tr>
        <w:trPr>
          <w:tblHeader/>
        </w:trPr>
        <w:tc>
          <w:tcPr>
            <w:tcW w:type="dxa" w:w="1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Question #</w:t>
            </w:r>
          </w:p>
        </w:tc>
        <w:tc>
          <w:tcPr>
            <w:tcW w:type="dxa" w:w="4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Open item</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Owner</w:t>
            </w:r>
          </w:p>
        </w:tc>
        <w:tc>
          <w:tcPr>
            <w:tcW w:type="dxa" w:w="1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 required</w:t>
            </w:r>
          </w:p>
        </w:tc>
      </w:tr>
      <w:tr>
        <w:tc>
          <w:tcPr>
            <w:tcW w:type="dxa" w:w="1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4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1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4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bl>
    <w:p>
      <w:pPr>
        <w:pStyle w:val="Heading3"/>
        <w:pageBreakBefore/>
        <w:spacing w:after="80" w:before="180"/>
      </w:pPr>
      <w:r>
        <w:rPr>
          <w:rFonts w:ascii="Arial" w:cs="Arial" w:eastAsia="Arial" w:hAnsi="Arial"/>
          <w:b/>
          <w:bCs/>
          <w:color w:val="263858"/>
          <w:sz w:val="20"/>
          <w:szCs w:val="20"/>
        </w:rPr>
        <w:t xml:space="preserve">Attendance record</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2600"/>
        <w:gridCol w:w="2600"/>
        <w:gridCol w:w="1838"/>
      </w:tblGrid>
      <w:tr>
        <w:trPr>
          <w:tblHeader/>
        </w:trPr>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Organisation</w:t>
            </w:r>
          </w:p>
        </w:tc>
        <w:tc>
          <w:tcPr>
            <w:tcW w:type="dxa" w:w="2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1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4000"/>
        <w:gridCol w:w="3638"/>
        <w:gridCol w:w="2000"/>
      </w:tblGrid>
      <w:tr>
        <w:trPr>
          <w:tblHeader/>
        </w:trPr>
        <w:tc>
          <w:tcPr>
            <w:tcW w:type="dxa" w:w="4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Talk leader</w:t>
            </w:r>
          </w:p>
        </w:tc>
        <w:tc>
          <w:tcPr>
            <w:tcW w:type="dxa" w:w="3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c>
          <w:tcPr>
            <w:tcW w:type="dxa" w:w="2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4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c>
          <w:tcPr>
            <w:tcW w:type="dxa" w:w="3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2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7. Completed CE-018 worked example</w:t>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ISSUED FOR PROJECT MANAGER REVIEW (IFR) — NOT APPROVED</w:t>
            </w:r>
          </w:p>
          <w:p>
            <w:pPr>
              <w:spacing w:after="40"/>
            </w:pPr>
            <w:r>
              <w:rPr>
                <w:rFonts w:ascii="Arial" w:cs="Arial" w:eastAsia="Arial" w:hAnsi="Arial"/>
                <w:color w:val="263858"/>
                <w:sz w:val="18"/>
                <w:szCs w:val="18"/>
              </w:rPr>
              <w:t xml:space="preserve">Fictional Demonstration Data. Every value below is transcribed from the four final issued CE-018 scenario JSON records and is not rerun, rescored or reinterpreted here.</w:t>
            </w:r>
          </w:p>
          <w:p>
            <w:pPr>
              <w:spacing w:after="40"/>
            </w:pPr>
            <w:r>
              <w:rPr>
                <w:rFonts w:ascii="Arial" w:cs="Arial" w:eastAsia="Arial" w:hAnsi="Arial"/>
                <w:color w:val="263858"/>
                <w:sz w:val="18"/>
                <w:szCs w:val="18"/>
              </w:rPr>
              <w:t xml:space="preserve">Configured NEC4 process-assurance checks only. Not a statement of NEC4 or legal compliance, and not legal advice.</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The CE-018 toolbox talk below was delivered before the assessment run that produced the four issued scenario results.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600"/>
        <w:gridCol w:w="3400"/>
        <w:gridCol w:w="5638"/>
      </w:tblGrid>
      <w:tr>
        <w:trPr>
          <w:tblHeader/>
        </w:trPr>
        <w:tc>
          <w:tcPr>
            <w:tcW w:type="dxa" w:w="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t>
            </w:r>
          </w:p>
        </w:tc>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Question</w:t>
            </w:r>
          </w:p>
        </w:tc>
        <w:tc>
          <w:tcPr>
            <w:tcW w:type="dxa" w:w="5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CE-018 answer recorded on the day</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What is the one bounded task, and what decision does it support?</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Prepare a cited decision-readiness assessment of the CE-018 evidence pack. It supports the Project Manager’s decision on whether the pack is ready for contractual review and which route applies.</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2</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Who is the accountable decision owner, and is that person available?</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 — NEC4 Project Manager. Available; the configured contractual response date is 2026-04-11.</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3</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Which records are approved, and at which revisions?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The 23 records registered in Source_Register.csv (SRC-001) Rev 3.0 — 11 Context records and 12 scenario evidence records — each at the approved revision stated in the register.</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4</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Which records are deliberately excluded, and why?</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Records registered to another scenario. In S3, the base forecast FCST-P07 and the base risk record RISK-044 are excluded because they are registered to S1, S2 and S4 only and are replaced in S3 by FCST-P07-X and RISK-044-X. The exclusion is recorded, not silent.</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5</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What must never be uploaded or entered?</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Anything unregistered, superseded or belonging to another scenario. The five branding image assets are formatting assets only: they are never inventoried, cited, scored or added to the source register.</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6</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Which four tests apply, and what does each score mean?</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T1 Evidence and version; T2 Records agree; T3 Configured NEC4 route and clock; T4 Human authority. 2 = fully evidenced; 1 = bounded condition requiring a recorded action; 0 = failed or unsupported critical control.</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7</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What happens on a score of 0?</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 score of 0 is a critical failure and determines the route irrespective of the numerical total. It is never offset by strong scores elsewhere.</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8</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What output may the assistant produce, and what status does it carry?</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A cited assurance report, a scorecard, a structured result record, exceptions, actions and a recommended route — all issued as ISSUED FOR PROJECT MANAGER REVIEW (IFR) — NOT APPROVED.</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9</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Which actions must the assistant refuse?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Deciding the compensation event or entitlement; determining whether the Contractor’s assessment is correct; assessing, accepting or rejecting Quotation Rev B; notifying, instructing, certifying, implementing or issuing any contractual communication; substituting UP13 for AP12; inventing evidence or averaging conflicting records.</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10</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What do you do if the assistant is asked for a reserved action?</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Refuse the action, state that it is reserved, record the request and the refusal in the output, and refer the matter to Elena Brooks. Do not produce a draft “for signature” as a workaround. Note that the request itself scores T4 = 0.</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11</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Where do exceptions go, and who owns them?</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To the named record owner with a classification, a due date and a date basis, routed by Sofia Khan. Matters reserved to the Project Manager go to Elena Brooks and are not closed by assurance retest.</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12</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How is a due date classified — assurance target or contractual date?</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Explicitly labelled. An assurance action target is an internal rework date; a configured contractual date is a date under the configured process. The CE-018 assurance targets sit at 2026-04-02 and 2026-04-08; the configured contractual response date is 2026-04-11.</w:t>
            </w:r>
          </w:p>
        </w:tc>
      </w:tr>
      <w:tr>
        <w:tc>
          <w:tcPr>
            <w:tcW w:type="dxa" w:w="6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13</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How is every reported value traced back to a source?</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Every reported value carries the source file name, the record identifier and the approved revision, so any figure can be taken back to the record it came from.</w:t>
            </w:r>
          </w:p>
        </w:tc>
      </w:tr>
      <w:tr>
        <w:tc>
          <w:tcPr>
            <w:tcW w:type="dxa" w:w="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14</w:t>
            </w:r>
          </w:p>
        </w:tc>
        <w:tc>
          <w:tcPr>
            <w:tcW w:type="dxa" w:w="3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Who retains the decision?</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 NEC4 Project Manager, retains every contractual decision on CE-018.</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Open items — CE-018</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400"/>
        <w:gridCol w:w="4838"/>
        <w:gridCol w:w="1900"/>
        <w:gridCol w:w="1500"/>
      </w:tblGrid>
      <w:tr>
        <w:trPr>
          <w:tblHeader/>
        </w:trPr>
        <w:tc>
          <w:tcPr>
            <w:tcW w:type="dxa" w:w="1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Question #</w:t>
            </w:r>
          </w:p>
        </w:tc>
        <w:tc>
          <w:tcPr>
            <w:tcW w:type="dxa" w:w="4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Open item</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Owner</w:t>
            </w:r>
          </w:p>
        </w:tc>
        <w:tc>
          <w:tcPr>
            <w:tcW w:type="dxa" w:w="1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 required</w:t>
            </w:r>
          </w:p>
        </w:tc>
      </w:tr>
      <w:tr>
        <w:tc>
          <w:tcPr>
            <w:tcW w:type="dxa" w:w="1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None</w:t>
            </w:r>
          </w:p>
        </w:tc>
        <w:tc>
          <w:tcPr>
            <w:tcW w:type="dxa" w:w="4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No question was left open. The talk was completed in full before the assessment run.</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n/a</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n/a</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Attendance record — CE-018</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400"/>
        <w:gridCol w:w="3200"/>
        <w:gridCol w:w="2400"/>
        <w:gridCol w:w="1638"/>
      </w:tblGrid>
      <w:tr>
        <w:trPr>
          <w:tblHeader/>
        </w:trPr>
        <w:tc>
          <w:tcPr>
            <w:tcW w:type="dxa" w:w="2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w:t>
            </w:r>
          </w:p>
        </w:tc>
        <w:tc>
          <w:tcPr>
            <w:tcW w:type="dxa" w:w="32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Organisation</w:t>
            </w:r>
          </w:p>
        </w:tc>
        <w:tc>
          <w:tcPr>
            <w:tcW w:type="dxa" w:w="2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1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Signature</w:t>
            </w:r>
          </w:p>
        </w:tc>
      </w:tr>
      <w:tr>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w:t>
            </w:r>
          </w:p>
        </w:tc>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Westbridge Transit Authority</w:t>
            </w:r>
          </w:p>
        </w:tc>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Project Controls Lead (talk leader)</w:t>
            </w:r>
          </w:p>
        </w:tc>
        <w:tc>
          <w:tcPr>
            <w:tcW w:type="dxa" w:w="1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w:t>
            </w:r>
          </w:p>
        </w:tc>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Westbridge Transit Authority</w:t>
            </w:r>
          </w:p>
        </w:tc>
        <w:tc>
          <w:tcPr>
            <w:tcW w:type="dxa" w:w="2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NEC4 Project Manager</w:t>
            </w:r>
          </w:p>
        </w:tc>
        <w:tc>
          <w:tcPr>
            <w:tcW w:type="dxa" w:w="1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Marcus Reed</w:t>
            </w:r>
          </w:p>
        </w:tc>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Northstar Civil Engineering Ltd</w:t>
            </w:r>
          </w:p>
        </w:tc>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Contractor Delivery Lead</w:t>
            </w:r>
          </w:p>
        </w:tc>
        <w:tc>
          <w:tcPr>
            <w:tcW w:type="dxa" w:w="1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Theo Grant</w:t>
            </w:r>
          </w:p>
        </w:tc>
        <w:tc>
          <w:tcPr>
            <w:tcW w:type="dxa" w:w="32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CityRail Operations</w:t>
            </w:r>
          </w:p>
        </w:tc>
        <w:tc>
          <w:tcPr>
            <w:tcW w:type="dxa" w:w="24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Access Interface Manager</w:t>
            </w:r>
          </w:p>
        </w:tc>
        <w:tc>
          <w:tcPr>
            <w:tcW w:type="dxa" w:w="1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Alex Morgan</w:t>
            </w:r>
          </w:p>
        </w:tc>
        <w:tc>
          <w:tcPr>
            <w:tcW w:type="dxa" w:w="32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Westbridge Transit Authority</w:t>
            </w:r>
          </w:p>
        </w:tc>
        <w:tc>
          <w:tcPr>
            <w:tcW w:type="dxa" w:w="2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NEC4 Supervisor</w:t>
            </w:r>
          </w:p>
        </w:tc>
        <w:tc>
          <w:tcPr>
            <w:tcW w:type="dxa" w:w="1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bl>
    <w:p>
      <w:pPr>
        <w:spacing w:after="60" w:before="0"/>
        <w:jc w:val="left"/>
      </w:pPr>
      <w:r>
        <w:rPr>
          <w:rFonts w:ascii="Arial" w:cs="Arial" w:eastAsia="Arial" w:hAnsi="Arial"/>
          <w:b w:val="false"/>
          <w:bCs w:val="false"/>
          <w:i w:val="false"/>
          <w:iCs w:val="false"/>
          <w:color w:val="263858"/>
          <w:sz w:val="8"/>
          <w:szCs w:val="8"/>
        </w:rPr>
        <w:t xml:space="preserve"/>
      </w:r>
    </w:p>
    <w:p>
      <w:pPr>
        <w:spacing w:after="100" w:before="60"/>
        <w:jc w:val="left"/>
      </w:pPr>
      <w:r>
        <w:drawing>
          <wp:inline distT="0" distB="0" distL="0" distR="0">
            <wp:extent cx="1619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428625"/>
                    </a:xfrm>
                    <a:prstGeom prst="rect">
                      <a:avLst/>
                    </a:prstGeom>
                  </pic:spPr>
                </pic:pic>
              </a:graphicData>
            </a:graphic>
          </wp:inline>
        </w:drawing>
      </w:r>
    </w:p>
    <w:p>
      <w:pPr>
        <w:spacing w:after="100" w:before="60"/>
        <w:jc w:val="left"/>
      </w:pPr>
      <w:r>
        <w:drawing>
          <wp:inline distT="0" distB="0" distL="0" distR="0">
            <wp:extent cx="1619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400050"/>
                    </a:xfrm>
                    <a:prstGeom prst="rect">
                      <a:avLst/>
                    </a:prstGeom>
                  </pic:spPr>
                </pic:pic>
              </a:graphicData>
            </a:graphic>
          </wp:inline>
        </w:drawing>
      </w:r>
    </w:p>
    <w:p>
      <w:pPr>
        <w:spacing w:after="100" w:before="0"/>
        <w:jc w:val="left"/>
      </w:pPr>
      <w:r>
        <w:rPr>
          <w:rFonts w:ascii="Arial" w:cs="Arial" w:eastAsia="Arial" w:hAnsi="Arial"/>
          <w:b w:val="false"/>
          <w:bCs w:val="false"/>
          <w:i/>
          <w:iCs/>
          <w:color w:val="6B7A8D"/>
          <w:sz w:val="16"/>
          <w:szCs w:val="16"/>
        </w:rPr>
        <w:t xml:space="preserve">Interface and contractor organisations represented at the CE-018 toolbox talk. Organisation marks are formatting assets and are not evidence.</w:t>
      </w:r>
    </w:p>
    <w:p>
      <w:pPr>
        <w:pStyle w:val="Heading1"/>
        <w:pageBreakBefore/>
        <w:pBdr>
          <w:bottom w:val="single" w:color="08A6D4" w:sz="12" w:space="4"/>
        </w:pBdr>
        <w:spacing w:after="140" w:before="320"/>
      </w:pPr>
      <w:r>
        <w:rPr>
          <w:rFonts w:ascii="Arial" w:cs="Arial" w:eastAsia="Arial" w:hAnsi="Arial"/>
          <w:b/>
          <w:bCs/>
          <w:color w:val="263858"/>
          <w:sz w:val="26"/>
          <w:szCs w:val="26"/>
        </w:rPr>
        <w:t xml:space="preserve">8. Recorded assumptions, gaps and limitations</w:t>
      </w:r>
    </w:p>
    <w:p>
      <w:pPr>
        <w:pStyle w:val="ListParagraph"/>
        <w:numPr>
          <w:ilvl w:val="0"/>
          <w:numId w:val="2"/>
        </w:numPr>
        <w:spacing w:after="60"/>
      </w:pPr>
      <w:r>
        <w:rPr>
          <w:rFonts w:ascii="Arial" w:cs="Arial" w:eastAsia="Arial" w:hAnsi="Arial"/>
          <w:color w:val="263858"/>
          <w:sz w:val="20"/>
          <w:szCs w:val="20"/>
        </w:rPr>
        <w:t xml:space="preserve">The talk records understanding at a point in time. It does not remove the need for the written charter, control brief and registers.</w:t>
      </w:r>
    </w:p>
    <w:p>
      <w:pPr>
        <w:pStyle w:val="ListParagraph"/>
        <w:numPr>
          <w:ilvl w:val="0"/>
          <w:numId w:val="2"/>
        </w:numPr>
        <w:spacing w:after="60"/>
      </w:pPr>
      <w:r>
        <w:rPr>
          <w:rFonts w:ascii="Arial" w:cs="Arial" w:eastAsia="Arial" w:hAnsi="Arial"/>
          <w:color w:val="263858"/>
          <w:sz w:val="20"/>
          <w:szCs w:val="20"/>
        </w:rPr>
        <w:t xml:space="preserve">Attendance is evidence that the briefing was delivered, not evidence that the task was performed correctly. Performance is tested at Stage 03.</w:t>
      </w:r>
    </w:p>
    <w:p>
      <w:pPr>
        <w:pStyle w:val="ListParagraph"/>
        <w:numPr>
          <w:ilvl w:val="0"/>
          <w:numId w:val="2"/>
        </w:numPr>
        <w:spacing w:after="60"/>
      </w:pPr>
      <w:r>
        <w:rPr>
          <w:rFonts w:ascii="Arial" w:cs="Arial" w:eastAsia="Arial" w:hAnsi="Arial"/>
          <w:color w:val="263858"/>
          <w:sz w:val="20"/>
          <w:szCs w:val="20"/>
        </w:rPr>
        <w:t xml:space="preserve">The refusal script at question 10 assumes the operator can escalate promptly. Where the accountable decision owner is unavailable, the task waits.</w:t>
      </w:r>
    </w:p>
    <w:p>
      <w:pPr>
        <w:pStyle w:val="ListParagraph"/>
        <w:numPr>
          <w:ilvl w:val="0"/>
          <w:numId w:val="2"/>
        </w:numPr>
        <w:spacing w:after="60"/>
      </w:pPr>
      <w:r>
        <w:rPr>
          <w:rFonts w:ascii="Arial" w:cs="Arial" w:eastAsia="Arial" w:hAnsi="Arial"/>
          <w:color w:val="263858"/>
          <w:sz w:val="20"/>
          <w:szCs w:val="20"/>
        </w:rPr>
        <w:t xml:space="preserve">Gap carried: a talk delivered remotely should record the platform used and how attendance was confirmed.</w:t>
      </w:r>
    </w:p>
    <w:p>
      <w:pPr>
        <w:pStyle w:val="ListParagraph"/>
        <w:numPr>
          <w:ilvl w:val="0"/>
          <w:numId w:val="2"/>
        </w:numPr>
        <w:spacing w:after="60"/>
      </w:pPr>
      <w:r>
        <w:rPr>
          <w:rFonts w:ascii="Arial" w:cs="Arial" w:eastAsia="Arial" w:hAnsi="Arial"/>
          <w:color w:val="263858"/>
          <w:sz w:val="20"/>
          <w:szCs w:val="20"/>
        </w:rPr>
        <w:t xml:space="preserve">The CE-018 attendance entries are Fictional Demonstration Data and are not signatures of real individuals.</w:t>
      </w:r>
    </w:p>
    <w:p>
      <w:pPr>
        <w:pStyle w:val="Heading1"/>
        <w:pBdr>
          <w:bottom w:val="single" w:color="08A6D4" w:sz="12" w:space="4"/>
        </w:pBdr>
        <w:spacing w:after="140" w:before="320"/>
      </w:pPr>
      <w:r>
        <w:rPr>
          <w:rFonts w:ascii="Arial" w:cs="Arial" w:eastAsia="Arial" w:hAnsi="Arial"/>
          <w:b/>
          <w:bCs/>
          <w:color w:val="263858"/>
          <w:sz w:val="26"/>
          <w:szCs w:val="26"/>
        </w:rPr>
        <w:t xml:space="preserve">9. Document control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800"/>
        <w:gridCol w:w="6838"/>
      </w:tblGrid>
      <w:tr>
        <w:trPr>
          <w:tblHeader/>
        </w:trPr>
        <w:tc>
          <w:tcPr>
            <w:tcW w:type="dxa" w:w="28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Control field</w:t>
            </w:r>
          </w:p>
        </w:tc>
        <w:tc>
          <w:tcPr>
            <w:tcW w:type="dxa" w:w="6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Version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v1.0</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blank template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TEMPLATE — CONFIGURE BEFORE USE</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ISSUED FOR PROJECT MANAGER REVIEW (IFR) — NOT APPROVED</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 date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Evidence cut-off applied to the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by</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Project Controls Assurance Assistant (configured AI support, non-contractual)</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for</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owner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Review trigger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Any change to the approved source register, the four-test definitions, the configured control matrix or the authority matrix</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10. Relationship to the previous and next template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600"/>
        <w:gridCol w:w="3400"/>
        <w:gridCol w:w="4638"/>
      </w:tblGrid>
      <w:tr>
        <w:trPr>
          <w:tblHeader/>
        </w:trPr>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Position</w:t>
            </w:r>
          </w:p>
        </w:tc>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Template</w:t>
            </w:r>
          </w:p>
        </w:tc>
        <w:tc>
          <w:tcPr>
            <w:tcW w:type="dxa" w:w="4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Relationship</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Previous</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CE018-SP-05 Data and Source Control Matrix</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SP-05 fixes which records may be used; the talk briefs the team on that source set before work starts.</w:t>
            </w:r>
          </w:p>
        </w:tc>
      </w:tr>
      <w:tr>
        <w:tc>
          <w:tcPr>
            <w:tcW w:type="dxa" w:w="1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This template</w:t>
            </w:r>
          </w:p>
        </w:tc>
        <w:tc>
          <w:tcPr>
            <w:tcW w:type="dxa" w:w="34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CE018-SP-06 AI Toolbox Talk Checklist</w:t>
            </w:r>
          </w:p>
        </w:tc>
        <w:tc>
          <w:tcPr>
            <w:tcW w:type="dxa" w:w="4638"/>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Briefs the team on the approved boundary and records that the briefing happened.</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Next</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CE018-SP-07 Task Control Brief</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talk briefs the people; SP-07 is the written instruction that governs the run itself.</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11. Retained human authority</w:t>
      </w:r>
    </w:p>
    <w:p>
      <w:pPr>
        <w:spacing w:after="100" w:before="0"/>
        <w:jc w:val="left"/>
      </w:pPr>
      <w:r>
        <w:rPr>
          <w:rFonts w:ascii="Arial" w:cs="Arial" w:eastAsia="Arial" w:hAnsi="Arial"/>
          <w:b w:val="false"/>
          <w:bCs w:val="false"/>
          <w:i w:val="false"/>
          <w:iCs w:val="false"/>
          <w:color w:val="263858"/>
          <w:sz w:val="20"/>
          <w:szCs w:val="20"/>
        </w:rPr>
        <w:t xml:space="preserve">The configured assistant may extract, link, compare, reconcile, cite, flag, score against the configured controls, identify exceptions and owners, prepare a decision-readiness pack and recommend a controlled review route.</w:t>
      </w:r>
    </w:p>
    <w:p>
      <w:pPr>
        <w:spacing w:after="100" w:before="0"/>
        <w:jc w:val="left"/>
      </w:pPr>
      <w:r>
        <w:rPr>
          <w:rFonts w:ascii="Arial" w:cs="Arial" w:eastAsia="Arial" w:hAnsi="Arial"/>
          <w:b w:val="false"/>
          <w:bCs w:val="false"/>
          <w:i w:val="false"/>
          <w:iCs w:val="false"/>
          <w:color w:val="263858"/>
          <w:sz w:val="20"/>
          <w:szCs w:val="20"/>
        </w:rPr>
        <w:t xml:space="preserve">The assistant must not decide whether CE-018 is a compensation event; decide entitlement; determine whether the Contractor’s assessment is contractually correct; accept, reject or assess a quotation; issue or draft a contractual communication; determine the contractual effect of a clause; instruct or implement CE-018; claim legal or NEC4 compliance; or provide legal advice.</w:t>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decision</w:t>
            </w:r>
          </w:p>
          <w:p>
            <w:pPr>
              <w:spacing w:after="40"/>
            </w:pPr>
            <w:r>
              <w:rPr>
                <w:rFonts w:ascii="Arial" w:cs="Arial" w:eastAsia="Arial" w:hAnsi="Arial"/>
                <w:color w:val="263858"/>
                <w:sz w:val="18"/>
                <w:szCs w:val="18"/>
              </w:rPr>
              <w:t xml:space="preserve">Elena Brooks, NEC4 Project Manager, retains every contractual decision on CE-018.</w:t>
            </w:r>
          </w:p>
          <w:p>
            <w:pPr>
              <w:spacing w:after="40"/>
            </w:pPr>
            <w:r>
              <w:rPr>
                <w:rFonts w:ascii="Arial" w:cs="Arial" w:eastAsia="Arial" w:hAnsi="Arial"/>
                <w:color w:val="263858"/>
                <w:sz w:val="18"/>
                <w:szCs w:val="18"/>
              </w:rPr>
              <w:t xml:space="preserve">When this template is reused, the equivalent statement must name the relevant contractual role or accountable decision owner on that project.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6" w:space="6"/>
      </w:pBdr>
      <w:tabs>
        <w:tab w:val="right" w:pos="9638"/>
      </w:tabs>
    </w:pPr>
    <w:r>
      <w:rPr>
        <w:rFonts w:ascii="Arial" w:cs="Arial" w:eastAsia="Arial" w:hAnsi="Arial"/>
        <w:color w:val="6B7A8D"/>
        <w:sz w:val="14"/>
        <w:szCs w:val="14"/>
      </w:rPr>
      <w:t xml:space="preserve">CE018-SP-06  |  v1.0  |  Fictional Demonstration Data  |  Not a contractual communication</w:t>
    </w:r>
    <w:r>
      <w:rPr>
        <w:rFonts w:ascii="Arial" w:cs="Arial" w:eastAsia="Arial" w:hAnsi="Arial"/>
        <w:sz w:val="14"/>
        <w:szCs w:val="14"/>
      </w:rPr>
      <w:t xml:space="preserve">	</w:t>
    </w:r>
    <w:r>
      <w:rPr>
        <w:rFonts w:ascii="Arial" w:cs="Arial" w:eastAsia="Arial" w:hAnsi="Arial"/>
        <w:color w:val="6B7A8D"/>
        <w:sz w:val="14"/>
        <w:szCs w:val="14"/>
      </w:rPr>
      <w:t xml:space="preserve">Page </w:t>
    </w:r>
    <w:r>
      <w:rPr>
        <w:rFonts w:ascii="Arial" w:cs="Arial" w:eastAsia="Arial" w:hAnsi="Arial"/>
        <w:color w:val="6B7A8D"/>
        <w:sz w:val="14"/>
        <w:szCs w:val="14"/>
      </w:rPr>
      <w:fldChar w:fldCharType="begin"/>
      <w:instrText xml:space="preserve">PAGE</w:instrText>
      <w:fldChar w:fldCharType="separate"/>
      <w:fldChar w:fldCharType="end"/>
    </w:r>
    <w:r>
      <w:rPr>
        <w:rFonts w:ascii="Arial" w:cs="Arial" w:eastAsia="Arial" w:hAnsi="Arial"/>
        <w:color w:val="6B7A8D"/>
        <w:sz w:val="14"/>
        <w:szCs w:val="14"/>
      </w:rPr>
      <w:t xml:space="preserve"> of </w:t>
    </w:r>
    <w:r>
      <w:rPr>
        <w:rFonts w:ascii="Arial" w:cs="Arial" w:eastAsia="Arial" w:hAnsi="Arial"/>
        <w:color w:val="6B7A8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08A6D4"/>
      </w:rPr>
    </w:lvl>
  </w:abstractNum>
  <w:abstractNum w:abstractNumId="3" w15:restartNumberingAfterBreak="0">
    <w:multiLevelType w:val="hybridMultilevel"/>
    <w:lvl w:ilvl="0" w15:tentative="1">
      <w:start w:val="1"/>
      <w:numFmt w:val="decimal"/>
      <w:lvlText w:val="%1."/>
      <w:lvlJc w:val="left"/>
      <w:pPr>
        <w:ind w:left="400" w:hanging="240"/>
      </w:pPr>
      <w:rPr>
        <w:rFonts w:ascii="Arial" w:cs="Arial" w:eastAsia="Arial" w:hAnsi="Arial"/>
        <w:b/>
        <w:bCs/>
        <w:color w:val="75488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85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image" Target="media/b62238188bd421343de035c89a00e58b65f1d629.png"/><Relationship Id="rId12" Type="http://schemas.openxmlformats.org/officeDocument/2006/relationships/image" Target="media/62f8a035cc2b3704f22a77fd0d94d4b6d3fe5ff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Toolbox Talk Checklist</dc:title>
  <dc:creator>CE-018 Project Controls Assurance Assistant</dc:creator>
  <dc:description>Fictional Demonstration Data — CE-018 Project Controls Assurance Starter Pack</dc:description>
  <cp:lastModifiedBy>Un-named</cp:lastModifiedBy>
  <cp:revision>1</cp:revision>
  <dcterms:created xsi:type="dcterms:W3CDTF">2026-08-24T03:31:28.440Z</dcterms:created>
  <dcterms:modified xsi:type="dcterms:W3CDTF">2026-08-24T03:31:28.440Z</dcterms:modified>
</cp:coreProperties>
</file>

<file path=docProps/custom.xml><?xml version="1.0" encoding="utf-8"?>
<Properties xmlns="http://schemas.openxmlformats.org/officeDocument/2006/custom-properties" xmlns:vt="http://schemas.openxmlformats.org/officeDocument/2006/docPropsVTypes"/>
</file>